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0EA9" w14:textId="0C159421" w:rsidR="008D6C73" w:rsidRPr="00897DDB" w:rsidRDefault="00113524">
      <w:pPr>
        <w:rPr>
          <w:b/>
          <w:u w:val="single"/>
        </w:rPr>
      </w:pPr>
      <w:r w:rsidRPr="00897DDB">
        <w:rPr>
          <w:b/>
          <w:u w:val="single"/>
        </w:rPr>
        <w:t xml:space="preserve">Résumé du rapport </w:t>
      </w:r>
      <w:r w:rsidR="00AF33B1" w:rsidRPr="00897DDB">
        <w:rPr>
          <w:b/>
          <w:u w:val="single"/>
        </w:rPr>
        <w:t xml:space="preserve">de </w:t>
      </w:r>
      <w:r w:rsidR="00815DD8" w:rsidRPr="00897DDB">
        <w:rPr>
          <w:b/>
          <w:u w:val="single"/>
        </w:rPr>
        <w:t xml:space="preserve">la </w:t>
      </w:r>
      <w:r w:rsidR="00815DD8" w:rsidRPr="00695542">
        <w:rPr>
          <w:b/>
          <w:i/>
          <w:u w:val="single"/>
        </w:rPr>
        <w:t xml:space="preserve">Westminster Commission on Miscarriages of Justice </w:t>
      </w:r>
      <w:r w:rsidR="00AF33B1" w:rsidRPr="00695542">
        <w:rPr>
          <w:b/>
          <w:u w:val="single"/>
        </w:rPr>
        <w:t>intitulé</w:t>
      </w:r>
      <w:r w:rsidR="006906E6" w:rsidRPr="00695542">
        <w:rPr>
          <w:b/>
          <w:u w:val="single"/>
        </w:rPr>
        <w:t xml:space="preserve"> </w:t>
      </w:r>
      <w:r w:rsidRPr="00695542">
        <w:rPr>
          <w:b/>
          <w:i/>
          <w:u w:val="single"/>
        </w:rPr>
        <w:t>« </w:t>
      </w:r>
      <w:r w:rsidR="006906E6" w:rsidRPr="00695542">
        <w:rPr>
          <w:b/>
          <w:i/>
          <w:u w:val="single"/>
        </w:rPr>
        <w:t>In the Interests of Justice</w:t>
      </w:r>
      <w:r w:rsidRPr="00695542">
        <w:rPr>
          <w:b/>
          <w:i/>
          <w:u w:val="single"/>
        </w:rPr>
        <w:t> »</w:t>
      </w:r>
      <w:r w:rsidR="00815DD8" w:rsidRPr="00897DDB">
        <w:rPr>
          <w:b/>
          <w:u w:val="single"/>
        </w:rPr>
        <w:t xml:space="preserve"> [Dans l’intérêt de la justice]</w:t>
      </w:r>
    </w:p>
    <w:p w14:paraId="3EE25D9C" w14:textId="0DDFD5C1" w:rsidR="006906E6" w:rsidRPr="00897DDB" w:rsidRDefault="00113524" w:rsidP="006906E6">
      <w:pPr>
        <w:spacing w:line="240" w:lineRule="auto"/>
      </w:pPr>
      <w:r w:rsidRPr="00897DDB">
        <w:t>Consulter le rapport exhaustif</w:t>
      </w:r>
      <w:r w:rsidR="006906E6" w:rsidRPr="00897DDB">
        <w:t xml:space="preserve"> </w:t>
      </w:r>
      <w:hyperlink r:id="rId12" w:history="1">
        <w:r w:rsidRPr="00897DDB">
          <w:rPr>
            <w:rStyle w:val="Hyperlink"/>
          </w:rPr>
          <w:t>ici</w:t>
        </w:r>
      </w:hyperlink>
      <w:r w:rsidRPr="00897DDB">
        <w:rPr>
          <w:rStyle w:val="Hyperlink"/>
          <w:u w:val="none"/>
        </w:rPr>
        <w:t xml:space="preserve"> </w:t>
      </w:r>
      <w:r w:rsidRPr="00897DDB">
        <w:rPr>
          <w:rStyle w:val="Hyperlink"/>
          <w:color w:val="auto"/>
          <w:u w:val="none"/>
        </w:rPr>
        <w:t>[en anglais].</w:t>
      </w:r>
    </w:p>
    <w:p w14:paraId="0D2DF8F3" w14:textId="130C1842" w:rsidR="006906E6" w:rsidRPr="00897DDB" w:rsidRDefault="00113524" w:rsidP="006906E6">
      <w:pPr>
        <w:spacing w:line="240" w:lineRule="auto"/>
      </w:pPr>
      <w:r w:rsidRPr="00897DDB">
        <w:t xml:space="preserve">Consulter le site Web du groupe parlementaire multipartite </w:t>
      </w:r>
      <w:r w:rsidR="00026611">
        <w:t xml:space="preserve">(GPM) </w:t>
      </w:r>
      <w:r w:rsidRPr="00897DDB">
        <w:t>sur les erreurs judiciaires</w:t>
      </w:r>
      <w:r w:rsidR="006906E6" w:rsidRPr="00897DDB">
        <w:t xml:space="preserve"> </w:t>
      </w:r>
      <w:hyperlink r:id="rId13" w:history="1">
        <w:r w:rsidRPr="00897DDB">
          <w:rPr>
            <w:rStyle w:val="Hyperlink"/>
          </w:rPr>
          <w:t>ici</w:t>
        </w:r>
      </w:hyperlink>
      <w:r w:rsidRPr="00897DDB">
        <w:rPr>
          <w:rStyle w:val="Hyperlink"/>
          <w:u w:val="none"/>
        </w:rPr>
        <w:t xml:space="preserve"> </w:t>
      </w:r>
      <w:r w:rsidRPr="00897DDB">
        <w:rPr>
          <w:rStyle w:val="Hyperlink"/>
          <w:color w:val="auto"/>
          <w:u w:val="none"/>
        </w:rPr>
        <w:t>[en anglais].</w:t>
      </w:r>
    </w:p>
    <w:p w14:paraId="37B43C7F" w14:textId="0A49A131" w:rsidR="003D7C96" w:rsidRPr="00897DDB" w:rsidRDefault="00AF33B1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 w:rsidRPr="00897DDB">
        <w:t xml:space="preserve">Ce rapport est le fruit d’une commission parlementaire indépendante mise sur pied en 2019 et ayant conclu ses travaux en mars 2021. Dans le cadre de </w:t>
      </w:r>
      <w:r w:rsidR="008D4FE9">
        <w:t>cette commission d</w:t>
      </w:r>
      <w:r w:rsidRPr="00897DDB">
        <w:t>’examen</w:t>
      </w:r>
      <w:r w:rsidR="008D4FE9">
        <w:t xml:space="preserve"> composée de</w:t>
      </w:r>
      <w:r w:rsidRPr="00897DDB">
        <w:t xml:space="preserve"> six membres</w:t>
      </w:r>
      <w:r w:rsidR="008D4FE9">
        <w:t>, on a</w:t>
      </w:r>
      <w:r w:rsidRPr="00897DDB">
        <w:t xml:space="preserve"> entendu </w:t>
      </w:r>
      <w:r w:rsidR="006B634B" w:rsidRPr="00897DDB">
        <w:t>l</w:t>
      </w:r>
      <w:r w:rsidRPr="00897DDB">
        <w:t xml:space="preserve">es témoignages et recueilli </w:t>
      </w:r>
      <w:r w:rsidR="00B26D6F" w:rsidRPr="00897DDB">
        <w:t>l</w:t>
      </w:r>
      <w:r w:rsidRPr="00897DDB">
        <w:t>es mémoires d’</w:t>
      </w:r>
      <w:r w:rsidR="006B634B" w:rsidRPr="00897DDB">
        <w:t xml:space="preserve">éminents spécialistes d’appel en matière criminelle </w:t>
      </w:r>
      <w:r w:rsidR="00B26D6F" w:rsidRPr="00897DDB">
        <w:t xml:space="preserve">au Royaume-Uni. Dans ses conclusions et recommandations, la commission réitère la position et les leçons tirées </w:t>
      </w:r>
      <w:r w:rsidR="00FD7366" w:rsidRPr="00897DDB">
        <w:t>de la commission d’examen des affaires criminelles pour l’Angleterre et l’Irlande du Nord (</w:t>
      </w:r>
      <w:r w:rsidR="0024257B">
        <w:t>la</w:t>
      </w:r>
      <w:r w:rsidR="00FD7366" w:rsidRPr="00897DDB">
        <w:t> </w:t>
      </w:r>
      <w:r w:rsidR="003D7C96" w:rsidRPr="00897DDB">
        <w:t>CCRC</w:t>
      </w:r>
      <w:r w:rsidR="00FD7366" w:rsidRPr="00897DDB">
        <w:t>)</w:t>
      </w:r>
      <w:r w:rsidR="003D7C96" w:rsidRPr="00897DDB">
        <w:t>.</w:t>
      </w:r>
      <w:r w:rsidR="00E3728F" w:rsidRPr="00897DDB">
        <w:t xml:space="preserve"> </w:t>
      </w:r>
      <w:r w:rsidR="00FD7366" w:rsidRPr="00897DDB">
        <w:t>Comme le souligne le résumé du rapport</w:t>
      </w:r>
      <w:r w:rsidR="006906E6" w:rsidRPr="00897DDB">
        <w:rPr>
          <w:rStyle w:val="FootnoteReference"/>
        </w:rPr>
        <w:footnoteReference w:id="1"/>
      </w:r>
      <w:r w:rsidR="006906E6" w:rsidRPr="00897DDB">
        <w:t>,</w:t>
      </w:r>
      <w:r w:rsidR="003D7C96" w:rsidRPr="00897DDB">
        <w:t xml:space="preserve"> </w:t>
      </w:r>
      <w:r w:rsidR="00FD7366" w:rsidRPr="00897DDB">
        <w:t xml:space="preserve">une démarche plus proactive est recommandée dans toutes les sphères abordées. </w:t>
      </w:r>
      <w:r w:rsidR="004359D5" w:rsidRPr="00897DDB">
        <w:t xml:space="preserve">Malgré les critiques, la valeur intrinsèque de la </w:t>
      </w:r>
      <w:r w:rsidR="008F2AED" w:rsidRPr="00897DDB">
        <w:t>CCRC</w:t>
      </w:r>
      <w:r w:rsidR="006906E6" w:rsidRPr="00897DDB">
        <w:rPr>
          <w:rStyle w:val="FootnoteReference"/>
        </w:rPr>
        <w:footnoteReference w:id="2"/>
      </w:r>
      <w:r w:rsidR="004359D5" w:rsidRPr="00897DDB">
        <w:t xml:space="preserve"> y est mise en exergue. </w:t>
      </w:r>
      <w:r w:rsidR="008D4FE9">
        <w:t>Enfin, o</w:t>
      </w:r>
      <w:r w:rsidR="00815DD8" w:rsidRPr="00897DDB">
        <w:t>n souligne la nécessité de maintenir l</w:t>
      </w:r>
      <w:r w:rsidR="004359D5" w:rsidRPr="00897DDB">
        <w:t xml:space="preserve">’indépendance constitutionnelle de la CCRC </w:t>
      </w:r>
      <w:r w:rsidR="008F2AED" w:rsidRPr="00897DDB">
        <w:t>(</w:t>
      </w:r>
      <w:r w:rsidR="00B44994" w:rsidRPr="00897DDB">
        <w:t xml:space="preserve">en lien avec </w:t>
      </w:r>
      <w:r w:rsidR="00C2263E">
        <w:t>la révision</w:t>
      </w:r>
      <w:r w:rsidR="00B44994" w:rsidRPr="00897DDB">
        <w:t xml:space="preserve"> judiciaire</w:t>
      </w:r>
      <w:r w:rsidR="00C2263E">
        <w:t xml:space="preserve"> dans </w:t>
      </w:r>
      <w:r w:rsidR="00C2263E" w:rsidRPr="00C2263E">
        <w:t>l’affaire</w:t>
      </w:r>
      <w:r w:rsidR="00E52685" w:rsidRPr="00897DDB">
        <w:t xml:space="preserve"> </w:t>
      </w:r>
      <w:r w:rsidR="00E52685" w:rsidRPr="00897DDB">
        <w:rPr>
          <w:i/>
        </w:rPr>
        <w:t>Warne</w:t>
      </w:r>
      <w:r w:rsidR="00E52685" w:rsidRPr="00897DDB">
        <w:rPr>
          <w:i/>
          <w:iCs/>
        </w:rPr>
        <w:t>r</w:t>
      </w:r>
      <w:r w:rsidR="008F2AED" w:rsidRPr="00897DDB">
        <w:t>)</w:t>
      </w:r>
      <w:r w:rsidR="006906E6" w:rsidRPr="00897DDB">
        <w:rPr>
          <w:rStyle w:val="FootnoteReference"/>
        </w:rPr>
        <w:footnoteReference w:id="3"/>
      </w:r>
      <w:r w:rsidR="008F2AED" w:rsidRPr="00897DDB">
        <w:t xml:space="preserve">. </w:t>
      </w:r>
    </w:p>
    <w:p w14:paraId="1881B326" w14:textId="77777777" w:rsidR="00E3728F" w:rsidRPr="00897DDB" w:rsidRDefault="00E3728F" w:rsidP="00FF62CF">
      <w:pPr>
        <w:pStyle w:val="ListParagraph"/>
        <w:spacing w:line="240" w:lineRule="auto"/>
        <w:jc w:val="both"/>
      </w:pPr>
    </w:p>
    <w:p w14:paraId="42C27892" w14:textId="22BB9985" w:rsidR="00E3728F" w:rsidRPr="00362C51" w:rsidRDefault="00E52685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 w:rsidRPr="00897DDB">
        <w:t>En ce qui a trait au</w:t>
      </w:r>
      <w:r w:rsidR="006945FA" w:rsidRPr="00897DDB">
        <w:t xml:space="preserve"> </w:t>
      </w:r>
      <w:r w:rsidR="006945FA" w:rsidRPr="00897DDB">
        <w:rPr>
          <w:u w:val="single"/>
        </w:rPr>
        <w:t xml:space="preserve">leadership, </w:t>
      </w:r>
      <w:r w:rsidRPr="00897DDB">
        <w:rPr>
          <w:u w:val="single"/>
        </w:rPr>
        <w:t>à l’indépendance et aux ressources</w:t>
      </w:r>
      <w:r w:rsidR="006906E6" w:rsidRPr="00897DDB">
        <w:rPr>
          <w:rStyle w:val="FootnoteReference"/>
        </w:rPr>
        <w:footnoteReference w:id="4"/>
      </w:r>
      <w:r w:rsidR="006945FA" w:rsidRPr="00897DDB">
        <w:t xml:space="preserve">, </w:t>
      </w:r>
      <w:r w:rsidRPr="00897DDB">
        <w:t xml:space="preserve">les témoignages ont </w:t>
      </w:r>
      <w:r w:rsidR="00875AAB">
        <w:t>fait ressortir</w:t>
      </w:r>
      <w:r w:rsidRPr="00897DDB">
        <w:t xml:space="preserve"> la nécessité, pour la</w:t>
      </w:r>
      <w:r w:rsidR="006945FA" w:rsidRPr="00897DDB">
        <w:t xml:space="preserve"> CCRC</w:t>
      </w:r>
      <w:r w:rsidRPr="00897DDB">
        <w:t>, d</w:t>
      </w:r>
      <w:r w:rsidR="00875AAB">
        <w:t>e tirer parti du leadership de</w:t>
      </w:r>
      <w:r w:rsidRPr="00897DDB">
        <w:t xml:space="preserve"> ceux </w:t>
      </w:r>
      <w:r w:rsidR="00875AAB">
        <w:t>ayant un</w:t>
      </w:r>
      <w:r w:rsidRPr="00897DDB">
        <w:t xml:space="preserve"> « bilan éprouvé en matière de correction </w:t>
      </w:r>
      <w:r w:rsidR="00897DDB" w:rsidRPr="00897DDB">
        <w:t xml:space="preserve">d’erreurs </w:t>
      </w:r>
      <w:r w:rsidRPr="00897DDB">
        <w:t>judiciaire</w:t>
      </w:r>
      <w:r w:rsidR="00875AAB">
        <w:t>s</w:t>
      </w:r>
      <w:r w:rsidRPr="00897DDB">
        <w:t> »</w:t>
      </w:r>
      <w:r w:rsidR="006945FA" w:rsidRPr="00897DDB">
        <w:t xml:space="preserve">. </w:t>
      </w:r>
      <w:r w:rsidRPr="00897DDB">
        <w:t>M. </w:t>
      </w:r>
      <w:r w:rsidR="006945FA" w:rsidRPr="00897DDB">
        <w:t xml:space="preserve">Hoyle </w:t>
      </w:r>
      <w:r w:rsidRPr="00897DDB">
        <w:t xml:space="preserve">a recommandé que la </w:t>
      </w:r>
      <w:r w:rsidR="00591FC5" w:rsidRPr="00897DDB">
        <w:t xml:space="preserve">CCRC </w:t>
      </w:r>
      <w:r w:rsidR="00897DDB" w:rsidRPr="00897DDB">
        <w:t xml:space="preserve">« se fasse </w:t>
      </w:r>
      <w:r w:rsidR="00897DDB">
        <w:t>en</w:t>
      </w:r>
      <w:r w:rsidR="00897DDB" w:rsidRPr="00897DDB">
        <w:t xml:space="preserve">tendre </w:t>
      </w:r>
      <w:r w:rsidR="00897DDB">
        <w:t xml:space="preserve">davantage et </w:t>
      </w:r>
      <w:r w:rsidR="00875AAB">
        <w:t xml:space="preserve">soit </w:t>
      </w:r>
      <w:r w:rsidR="00897DDB">
        <w:t xml:space="preserve">plus critique </w:t>
      </w:r>
      <w:r w:rsidR="00875AAB">
        <w:t>à l’égard de</w:t>
      </w:r>
      <w:r w:rsidR="00897DDB">
        <w:t xml:space="preserve"> situation</w:t>
      </w:r>
      <w:r w:rsidR="00875AAB">
        <w:t>s qui</w:t>
      </w:r>
      <w:r w:rsidR="00897DDB">
        <w:t xml:space="preserve"> </w:t>
      </w:r>
      <w:r w:rsidR="00470C50">
        <w:t>tourne</w:t>
      </w:r>
      <w:r w:rsidR="00875AAB">
        <w:t>nt</w:t>
      </w:r>
      <w:r w:rsidR="00470C50">
        <w:t xml:space="preserve"> mal » dans le système de justice pénale</w:t>
      </w:r>
      <w:r w:rsidR="006906E6" w:rsidRPr="00897DDB">
        <w:rPr>
          <w:rStyle w:val="FootnoteReference"/>
        </w:rPr>
        <w:footnoteReference w:id="5"/>
      </w:r>
      <w:r w:rsidR="00591FC5" w:rsidRPr="00897DDB">
        <w:t xml:space="preserve">. </w:t>
      </w:r>
      <w:r w:rsidR="00470C50" w:rsidRPr="00470C50">
        <w:t xml:space="preserve">Une discussion a eu lieu sur </w:t>
      </w:r>
      <w:r w:rsidR="00470C50">
        <w:t>la question de r</w:t>
      </w:r>
      <w:r w:rsidR="002752A1">
        <w:t>enforcer</w:t>
      </w:r>
      <w:r w:rsidR="00470C50" w:rsidRPr="00470C50">
        <w:t xml:space="preserve"> l’indépendance de la commission au </w:t>
      </w:r>
      <w:r w:rsidR="00470C50">
        <w:t>chapitre de la sélection et de la durée du mandat des commissaires, compte tenu de leurs antécédents professionnels</w:t>
      </w:r>
      <w:r w:rsidR="006906E6" w:rsidRPr="00897DDB">
        <w:rPr>
          <w:rStyle w:val="FootnoteReference"/>
        </w:rPr>
        <w:footnoteReference w:id="6"/>
      </w:r>
      <w:r w:rsidR="00591FC5" w:rsidRPr="00470C50">
        <w:t xml:space="preserve">. </w:t>
      </w:r>
      <w:r w:rsidR="009762C7">
        <w:t xml:space="preserve">On a </w:t>
      </w:r>
      <w:r w:rsidR="00470C50" w:rsidRPr="00470C50">
        <w:t>soulign</w:t>
      </w:r>
      <w:r w:rsidR="009762C7">
        <w:t>é</w:t>
      </w:r>
      <w:r w:rsidR="00470C50" w:rsidRPr="00470C50">
        <w:t xml:space="preserve"> </w:t>
      </w:r>
      <w:r w:rsidR="00362C51">
        <w:t xml:space="preserve">l’obligation par </w:t>
      </w:r>
      <w:r w:rsidR="00470C50" w:rsidRPr="00470C50">
        <w:t>la présidence d</w:t>
      </w:r>
      <w:r w:rsidR="00362C51">
        <w:t>’y consacrer s</w:t>
      </w:r>
      <w:r w:rsidR="00470C50">
        <w:t xml:space="preserve">uffisamment </w:t>
      </w:r>
      <w:r w:rsidR="00362C51">
        <w:t>de temps</w:t>
      </w:r>
      <w:r w:rsidR="00470C50">
        <w:t xml:space="preserve">. </w:t>
      </w:r>
    </w:p>
    <w:p w14:paraId="3998429F" w14:textId="77777777" w:rsidR="00E3728F" w:rsidRPr="00362C51" w:rsidRDefault="00E3728F" w:rsidP="00FF62CF">
      <w:pPr>
        <w:pStyle w:val="ListParagraph"/>
        <w:spacing w:line="240" w:lineRule="auto"/>
        <w:jc w:val="both"/>
      </w:pPr>
    </w:p>
    <w:p w14:paraId="21408F7A" w14:textId="229E9DB4" w:rsidR="00893EED" w:rsidRPr="004B2350" w:rsidRDefault="00037E93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 w:rsidRPr="00037E93">
        <w:t>En ce qui a trait à l’</w:t>
      </w:r>
      <w:r w:rsidRPr="00037E93">
        <w:rPr>
          <w:u w:val="single"/>
        </w:rPr>
        <w:t>i</w:t>
      </w:r>
      <w:r w:rsidR="00591FC5" w:rsidRPr="00037E93">
        <w:rPr>
          <w:u w:val="single"/>
        </w:rPr>
        <w:t>nd</w:t>
      </w:r>
      <w:r w:rsidRPr="00037E93">
        <w:rPr>
          <w:u w:val="single"/>
        </w:rPr>
        <w:t>é</w:t>
      </w:r>
      <w:r w:rsidR="00591FC5" w:rsidRPr="00037E93">
        <w:rPr>
          <w:u w:val="single"/>
        </w:rPr>
        <w:t>pend</w:t>
      </w:r>
      <w:r w:rsidRPr="00037E93">
        <w:rPr>
          <w:u w:val="single"/>
        </w:rPr>
        <w:t>a</w:t>
      </w:r>
      <w:r w:rsidR="00591FC5" w:rsidRPr="00037E93">
        <w:rPr>
          <w:u w:val="single"/>
        </w:rPr>
        <w:t>nce</w:t>
      </w:r>
      <w:r w:rsidR="006906E6" w:rsidRPr="00897DDB">
        <w:rPr>
          <w:rStyle w:val="FootnoteReference"/>
        </w:rPr>
        <w:footnoteReference w:id="7"/>
      </w:r>
      <w:r w:rsidR="006906E6" w:rsidRPr="00037E93">
        <w:t xml:space="preserve">, </w:t>
      </w:r>
      <w:r w:rsidRPr="00037E93">
        <w:t>on souligne que le président et les commissaires sont nommés par la reine sur recom</w:t>
      </w:r>
      <w:r w:rsidR="002F44AC">
        <w:t>m</w:t>
      </w:r>
      <w:r w:rsidRPr="00037E93">
        <w:t>andation du premier ministre et que la CCRC est parrainée par l</w:t>
      </w:r>
      <w:r>
        <w:t xml:space="preserve">e </w:t>
      </w:r>
      <w:r w:rsidR="00094A18">
        <w:t xml:space="preserve">ministère de la </w:t>
      </w:r>
      <w:r>
        <w:t>J</w:t>
      </w:r>
      <w:r w:rsidR="00094A18">
        <w:t>ustice</w:t>
      </w:r>
      <w:r w:rsidR="00AA0260">
        <w:t xml:space="preserve"> (MJ)</w:t>
      </w:r>
      <w:r>
        <w:t xml:space="preserve">, qui établit le budget et les examens. </w:t>
      </w:r>
      <w:r w:rsidRPr="006230FE">
        <w:t>Le rapport d</w:t>
      </w:r>
      <w:r w:rsidR="00026611" w:rsidRPr="006230FE">
        <w:t xml:space="preserve">u GPM </w:t>
      </w:r>
      <w:r w:rsidR="00D0667E" w:rsidRPr="006230FE">
        <w:t>m</w:t>
      </w:r>
      <w:r w:rsidR="00094A18">
        <w:t>entionne que depuis 2017 les commissaires ne sont pas salariés</w:t>
      </w:r>
      <w:r w:rsidR="006230FE">
        <w:t xml:space="preserve">, </w:t>
      </w:r>
      <w:r w:rsidR="00AA0260">
        <w:t xml:space="preserve">mais </w:t>
      </w:r>
      <w:r w:rsidR="006230FE">
        <w:t>ils reçoivent des honoraires</w:t>
      </w:r>
      <w:r w:rsidR="00D0667E" w:rsidRPr="006230FE">
        <w:t xml:space="preserve"> </w:t>
      </w:r>
      <w:r w:rsidR="006230FE">
        <w:t xml:space="preserve">sans </w:t>
      </w:r>
      <w:r w:rsidR="00B33FED">
        <w:t xml:space="preserve">aucun </w:t>
      </w:r>
      <w:r w:rsidR="006230FE">
        <w:t>avantage (congés annuels, congés de maladie ni cotisations à la pension)</w:t>
      </w:r>
      <w:r w:rsidR="00591FC5" w:rsidRPr="006230FE">
        <w:t xml:space="preserve">. </w:t>
      </w:r>
      <w:r w:rsidR="006230FE">
        <w:t xml:space="preserve">Leurs honoraires journaliers s’établissent à </w:t>
      </w:r>
      <w:r w:rsidR="00591FC5" w:rsidRPr="006230FE">
        <w:t>358</w:t>
      </w:r>
      <w:r w:rsidR="006230FE" w:rsidRPr="006230FE">
        <w:t xml:space="preserve"> livres sterling</w:t>
      </w:r>
      <w:r w:rsidR="00591FC5" w:rsidRPr="006230FE">
        <w:t xml:space="preserve">. </w:t>
      </w:r>
      <w:r w:rsidR="006230FE" w:rsidRPr="006230FE">
        <w:t xml:space="preserve">De 2018-2019 à 2019-2020, les </w:t>
      </w:r>
      <w:r w:rsidR="006230FE">
        <w:t xml:space="preserve">commissaires ont vu leurs </w:t>
      </w:r>
      <w:r w:rsidR="006230FE" w:rsidRPr="006230FE">
        <w:t xml:space="preserve">jours de séance </w:t>
      </w:r>
      <w:r w:rsidR="006230FE">
        <w:t>diminuer</w:t>
      </w:r>
      <w:r w:rsidR="00AA0260">
        <w:t xml:space="preserve"> de 30 pour cent</w:t>
      </w:r>
      <w:r w:rsidR="006906E6" w:rsidRPr="00897DDB">
        <w:rPr>
          <w:rStyle w:val="FootnoteReference"/>
        </w:rPr>
        <w:footnoteReference w:id="8"/>
      </w:r>
      <w:r w:rsidR="00591FC5" w:rsidRPr="006230FE">
        <w:t xml:space="preserve">. </w:t>
      </w:r>
      <w:r w:rsidR="00591FC5" w:rsidRPr="004B2350">
        <w:t>(</w:t>
      </w:r>
      <w:r w:rsidR="006230FE" w:rsidRPr="004B2350">
        <w:t xml:space="preserve">En résumé, </w:t>
      </w:r>
      <w:r w:rsidR="00B33FED">
        <w:t>la commission</w:t>
      </w:r>
      <w:r w:rsidR="006230FE" w:rsidRPr="004B2350">
        <w:t xml:space="preserve"> est con</w:t>
      </w:r>
      <w:r w:rsidR="004B2350" w:rsidRPr="004B2350">
        <w:t>s</w:t>
      </w:r>
      <w:r w:rsidR="006230FE" w:rsidRPr="004B2350">
        <w:t>tamment sous-financé</w:t>
      </w:r>
      <w:r w:rsidR="002D6D76">
        <w:t>e</w:t>
      </w:r>
      <w:r w:rsidR="006230FE" w:rsidRPr="004B2350">
        <w:t xml:space="preserve"> et </w:t>
      </w:r>
      <w:r w:rsidR="004B2350" w:rsidRPr="004B2350">
        <w:t>bafoué</w:t>
      </w:r>
      <w:r w:rsidR="002D6D76">
        <w:t>e</w:t>
      </w:r>
      <w:r w:rsidR="00591FC5" w:rsidRPr="004B2350">
        <w:t>).</w:t>
      </w:r>
      <w:r w:rsidR="00893EED" w:rsidRPr="004B2350">
        <w:t xml:space="preserve"> </w:t>
      </w:r>
      <w:r w:rsidR="004B2350" w:rsidRPr="004B2350">
        <w:t xml:space="preserve">Le rapport souligne </w:t>
      </w:r>
      <w:r w:rsidR="00AA0260">
        <w:t xml:space="preserve">la révision </w:t>
      </w:r>
      <w:r w:rsidR="004B2350" w:rsidRPr="004B2350">
        <w:t>judiciaire</w:t>
      </w:r>
      <w:r w:rsidR="00AA0260">
        <w:t xml:space="preserve"> dans l’affaire</w:t>
      </w:r>
      <w:r w:rsidR="004B2350" w:rsidRPr="004B2350">
        <w:t xml:space="preserve"> </w:t>
      </w:r>
      <w:r w:rsidR="00893EED" w:rsidRPr="004B2350">
        <w:rPr>
          <w:i/>
        </w:rPr>
        <w:t>Warner</w:t>
      </w:r>
      <w:r w:rsidR="004B2350" w:rsidRPr="004B2350">
        <w:rPr>
          <w:iCs/>
        </w:rPr>
        <w:t>, dans</w:t>
      </w:r>
      <w:r w:rsidR="004B2350">
        <w:rPr>
          <w:iCs/>
        </w:rPr>
        <w:t xml:space="preserve"> laquelle la </w:t>
      </w:r>
      <w:r w:rsidR="00322795">
        <w:rPr>
          <w:iCs/>
        </w:rPr>
        <w:t xml:space="preserve">Cour divisionnaire </w:t>
      </w:r>
      <w:r w:rsidR="0012124D">
        <w:rPr>
          <w:iCs/>
        </w:rPr>
        <w:t>mentionne</w:t>
      </w:r>
      <w:r w:rsidR="00322795">
        <w:rPr>
          <w:iCs/>
        </w:rPr>
        <w:t xml:space="preserve"> ceci </w:t>
      </w:r>
      <w:r w:rsidR="00893EED" w:rsidRPr="004B2350">
        <w:t xml:space="preserve">: </w:t>
      </w:r>
    </w:p>
    <w:p w14:paraId="44CCFA43" w14:textId="623444FD" w:rsidR="00893EED" w:rsidRPr="002D6D76" w:rsidRDefault="00037E93" w:rsidP="00FF62CF">
      <w:pPr>
        <w:pStyle w:val="ListParagraph"/>
        <w:spacing w:line="240" w:lineRule="auto"/>
        <w:ind w:left="1440"/>
        <w:jc w:val="both"/>
      </w:pPr>
      <w:r w:rsidRPr="00F34F3D">
        <w:t>[</w:t>
      </w:r>
      <w:r w:rsidRPr="00F34F3D">
        <w:rPr>
          <w:sz w:val="18"/>
          <w:szCs w:val="18"/>
        </w:rPr>
        <w:t>TRADUCTION</w:t>
      </w:r>
      <w:r w:rsidRPr="00F34F3D">
        <w:t>] « </w:t>
      </w:r>
      <w:r w:rsidR="00482026">
        <w:t xml:space="preserve">La CCRC n’est pas simplement </w:t>
      </w:r>
      <w:r w:rsidR="00F34F3D" w:rsidRPr="00F34F3D">
        <w:t>indépendan</w:t>
      </w:r>
      <w:r w:rsidR="00482026">
        <w:t>te sur le plan</w:t>
      </w:r>
      <w:r w:rsidR="00322795" w:rsidRPr="00F34F3D">
        <w:t xml:space="preserve"> “opérationnel”; </w:t>
      </w:r>
      <w:r w:rsidR="00482026">
        <w:t>elle est</w:t>
      </w:r>
      <w:r w:rsidR="00FE28BC">
        <w:t xml:space="preserve"> également i</w:t>
      </w:r>
      <w:r w:rsidR="00F34F3D">
        <w:t xml:space="preserve">ndépendante du gouvernement sur le plan constitutionnel, et </w:t>
      </w:r>
      <w:r w:rsidR="00655436">
        <w:t xml:space="preserve">c’est ainsi qu’elle </w:t>
      </w:r>
      <w:r w:rsidR="00FE28BC">
        <w:t>d</w:t>
      </w:r>
      <w:r w:rsidR="00482026">
        <w:t>oit</w:t>
      </w:r>
      <w:r w:rsidR="00F34F3D">
        <w:t xml:space="preserve"> être perçue pour que le public </w:t>
      </w:r>
      <w:r w:rsidR="00AA0260">
        <w:t>ait confiance en</w:t>
      </w:r>
      <w:r w:rsidR="00F34F3D">
        <w:t xml:space="preserve"> ses décisions</w:t>
      </w:r>
      <w:r w:rsidR="00893EED" w:rsidRPr="00F34F3D">
        <w:t xml:space="preserve">. </w:t>
      </w:r>
      <w:r w:rsidR="002D6D76">
        <w:t>L</w:t>
      </w:r>
      <w:r w:rsidR="00322795" w:rsidRPr="00F34F3D">
        <w:t xml:space="preserve">a </w:t>
      </w:r>
      <w:r w:rsidR="00893EED" w:rsidRPr="00F34F3D">
        <w:t xml:space="preserve">CCRC </w:t>
      </w:r>
      <w:r w:rsidR="00322795" w:rsidRPr="00F34F3D">
        <w:t>et le MJ</w:t>
      </w:r>
      <w:r w:rsidR="00893EED" w:rsidRPr="00F34F3D">
        <w:t xml:space="preserve">… </w:t>
      </w:r>
      <w:r w:rsidR="00F34F3D" w:rsidRPr="00F34F3D">
        <w:t>ont</w:t>
      </w:r>
      <w:r w:rsidR="002D6D76">
        <w:t xml:space="preserve"> entretenu des rapports </w:t>
      </w:r>
      <w:r w:rsidR="00F34F3D" w:rsidRPr="00F34F3D">
        <w:t>tr</w:t>
      </w:r>
      <w:r w:rsidR="00F34F3D">
        <w:t>ès médiocres</w:t>
      </w:r>
      <w:r w:rsidR="002D6D76">
        <w:t>, voire dysfonctionnels durant cette période. Cela a certainement mis à l’épreuve la capacité de la CCRC à rester indépendante du MJ, et à être perçue comme tel</w:t>
      </w:r>
      <w:r w:rsidR="009729E0">
        <w:t>le</w:t>
      </w:r>
      <w:r w:rsidR="00311FD1" w:rsidRPr="00897DDB">
        <w:rPr>
          <w:rStyle w:val="FootnoteReference"/>
        </w:rPr>
        <w:footnoteReference w:id="9"/>
      </w:r>
      <w:r w:rsidR="002D6D76">
        <w:t> ».</w:t>
      </w:r>
    </w:p>
    <w:p w14:paraId="06A9A600" w14:textId="77777777" w:rsidR="00E3728F" w:rsidRPr="002D6D76" w:rsidRDefault="00E3728F" w:rsidP="00FF62CF">
      <w:pPr>
        <w:pStyle w:val="ListParagraph"/>
        <w:spacing w:line="240" w:lineRule="auto"/>
        <w:ind w:left="1440"/>
        <w:jc w:val="both"/>
      </w:pPr>
    </w:p>
    <w:p w14:paraId="3551F051" w14:textId="69036A71" w:rsidR="00893EED" w:rsidRPr="00C21B73" w:rsidRDefault="00655436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>
        <w:lastRenderedPageBreak/>
        <w:t>Dans le rapport, o</w:t>
      </w:r>
      <w:r w:rsidR="00C21B73">
        <w:t>n recommande u</w:t>
      </w:r>
      <w:r w:rsidR="009729E0" w:rsidRPr="009729E0">
        <w:t xml:space="preserve">n rôle accru de </w:t>
      </w:r>
      <w:r w:rsidR="009729E0">
        <w:t>la présidence et des commissaires</w:t>
      </w:r>
      <w:r w:rsidR="009729E0" w:rsidRPr="009729E0">
        <w:t xml:space="preserve"> </w:t>
      </w:r>
      <w:r w:rsidR="00FD2F9E">
        <w:t>sur le plan du leadership et de la prise de décisions</w:t>
      </w:r>
      <w:r w:rsidR="00C21B73">
        <w:t>, aidé</w:t>
      </w:r>
      <w:r>
        <w:t>s</w:t>
      </w:r>
      <w:r w:rsidR="00C21B73">
        <w:t xml:space="preserve"> et surveillé</w:t>
      </w:r>
      <w:r>
        <w:t>s</w:t>
      </w:r>
      <w:r w:rsidR="00C21B73">
        <w:t xml:space="preserve"> par un comité</w:t>
      </w:r>
      <w:r w:rsidR="00E41F0B">
        <w:t xml:space="preserve"> constitué par la loi et</w:t>
      </w:r>
      <w:r w:rsidR="00FD2F9E" w:rsidRPr="00FD2F9E">
        <w:t xml:space="preserve"> </w:t>
      </w:r>
      <w:r w:rsidR="00FD2F9E">
        <w:t xml:space="preserve">composé de </w:t>
      </w:r>
      <w:r w:rsidR="00C21B73">
        <w:t>non-cadres</w:t>
      </w:r>
      <w:r w:rsidR="00904E9B">
        <w:t xml:space="preserve"> ayant des capacités adéquates sur le plan de la gouvernance</w:t>
      </w:r>
      <w:r w:rsidR="00893EED" w:rsidRPr="00FD2F9E">
        <w:t xml:space="preserve">. </w:t>
      </w:r>
      <w:r w:rsidR="00E36BFE">
        <w:rPr>
          <w:b/>
        </w:rPr>
        <w:t>L</w:t>
      </w:r>
      <w:r w:rsidR="00C21B73">
        <w:rPr>
          <w:b/>
        </w:rPr>
        <w:t>es</w:t>
      </w:r>
      <w:r w:rsidR="00C21B73" w:rsidRPr="00C21B73">
        <w:rPr>
          <w:b/>
        </w:rPr>
        <w:t xml:space="preserve"> r</w:t>
      </w:r>
      <w:r w:rsidR="00893EED" w:rsidRPr="00C21B73">
        <w:rPr>
          <w:b/>
        </w:rPr>
        <w:t>ecomm</w:t>
      </w:r>
      <w:r w:rsidR="00C21B73" w:rsidRPr="00C21B73">
        <w:rPr>
          <w:b/>
        </w:rPr>
        <w:t>a</w:t>
      </w:r>
      <w:r w:rsidR="00893EED" w:rsidRPr="00C21B73">
        <w:rPr>
          <w:b/>
        </w:rPr>
        <w:t xml:space="preserve">ndations </w:t>
      </w:r>
      <w:r w:rsidR="00C21B73" w:rsidRPr="00C21B73">
        <w:rPr>
          <w:b/>
        </w:rPr>
        <w:t xml:space="preserve">sur les structures de </w:t>
      </w:r>
      <w:r w:rsidR="00C21B73">
        <w:rPr>
          <w:b/>
        </w:rPr>
        <w:t>nomination se trouvent à la page </w:t>
      </w:r>
      <w:r w:rsidR="00893EED" w:rsidRPr="00C21B73">
        <w:rPr>
          <w:b/>
        </w:rPr>
        <w:t>26</w:t>
      </w:r>
      <w:r w:rsidR="00311FD1" w:rsidRPr="00C21B73">
        <w:rPr>
          <w:b/>
        </w:rPr>
        <w:t xml:space="preserve"> </w:t>
      </w:r>
      <w:r w:rsidR="00C21B73">
        <w:rPr>
          <w:b/>
        </w:rPr>
        <w:t>du</w:t>
      </w:r>
      <w:r w:rsidR="00311FD1" w:rsidRPr="00C21B73">
        <w:rPr>
          <w:b/>
        </w:rPr>
        <w:t xml:space="preserve"> </w:t>
      </w:r>
      <w:hyperlink r:id="rId14" w:history="1">
        <w:r w:rsidR="00311FD1" w:rsidRPr="00C21B73">
          <w:rPr>
            <w:rStyle w:val="Hyperlink"/>
            <w:b/>
          </w:rPr>
          <w:t>r</w:t>
        </w:r>
        <w:r w:rsidR="00C21B73">
          <w:rPr>
            <w:rStyle w:val="Hyperlink"/>
            <w:b/>
          </w:rPr>
          <w:t>apport</w:t>
        </w:r>
      </w:hyperlink>
      <w:r w:rsidR="00893EED" w:rsidRPr="00C21B73">
        <w:rPr>
          <w:b/>
        </w:rPr>
        <w:t>.</w:t>
      </w:r>
    </w:p>
    <w:p w14:paraId="237D349C" w14:textId="77777777" w:rsidR="00E3728F" w:rsidRPr="00C21B73" w:rsidRDefault="00E3728F" w:rsidP="00FF62CF">
      <w:pPr>
        <w:pStyle w:val="ListParagraph"/>
        <w:spacing w:line="240" w:lineRule="auto"/>
        <w:jc w:val="both"/>
      </w:pPr>
    </w:p>
    <w:p w14:paraId="15580EB4" w14:textId="3E5BC6BC" w:rsidR="00AA634A" w:rsidRPr="00166002" w:rsidRDefault="00C21B73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 w:rsidRPr="002A790F">
        <w:t>En matière de</w:t>
      </w:r>
      <w:r w:rsidR="00FD2F9E" w:rsidRPr="002A790F">
        <w:t xml:space="preserve"> </w:t>
      </w:r>
      <w:r w:rsidR="00893EED" w:rsidRPr="002A790F">
        <w:rPr>
          <w:u w:val="single"/>
        </w:rPr>
        <w:t>re</w:t>
      </w:r>
      <w:r w:rsidR="00FD2F9E" w:rsidRPr="002A790F">
        <w:rPr>
          <w:u w:val="single"/>
        </w:rPr>
        <w:t>s</w:t>
      </w:r>
      <w:r w:rsidR="00893EED" w:rsidRPr="002A790F">
        <w:rPr>
          <w:u w:val="single"/>
        </w:rPr>
        <w:t>sources</w:t>
      </w:r>
      <w:r w:rsidR="00311FD1" w:rsidRPr="00897DDB">
        <w:rPr>
          <w:rStyle w:val="FootnoteReference"/>
        </w:rPr>
        <w:footnoteReference w:id="10"/>
      </w:r>
      <w:r w:rsidR="00893EED" w:rsidRPr="002A790F">
        <w:t xml:space="preserve">, </w:t>
      </w:r>
      <w:r w:rsidR="004E34D6" w:rsidRPr="002A790F">
        <w:t xml:space="preserve">le financement de </w:t>
      </w:r>
      <w:r w:rsidR="00E41F0B">
        <w:t>la</w:t>
      </w:r>
      <w:r w:rsidR="00ED59F2" w:rsidRPr="002A790F">
        <w:t xml:space="preserve"> </w:t>
      </w:r>
      <w:r w:rsidR="00AA634A" w:rsidRPr="002A790F">
        <w:t xml:space="preserve">CCRC </w:t>
      </w:r>
      <w:r w:rsidR="002A790F" w:rsidRPr="002A790F">
        <w:t>a été coupé de moitié environ depuis une dizaine d’an</w:t>
      </w:r>
      <w:r w:rsidR="002A790F">
        <w:t>née</w:t>
      </w:r>
      <w:r w:rsidR="002F44AC">
        <w:t>s</w:t>
      </w:r>
      <w:r w:rsidR="002A790F">
        <w:t xml:space="preserve">, alors que les </w:t>
      </w:r>
      <w:r w:rsidR="0072532F">
        <w:t>demandes ont augmenté de 50 % au cours des cinq dernières années</w:t>
      </w:r>
      <w:r w:rsidR="00ED59F2" w:rsidRPr="00897DDB">
        <w:rPr>
          <w:rStyle w:val="FootnoteReference"/>
        </w:rPr>
        <w:footnoteReference w:id="11"/>
      </w:r>
      <w:r w:rsidR="00AA634A" w:rsidRPr="002A790F">
        <w:t xml:space="preserve">. </w:t>
      </w:r>
      <w:r w:rsidR="0072532F" w:rsidRPr="0072532F">
        <w:rPr>
          <w:i/>
          <w:u w:val="single"/>
        </w:rPr>
        <w:t>Les ressources liées à la représ</w:t>
      </w:r>
      <w:r w:rsidR="0072532F">
        <w:rPr>
          <w:i/>
          <w:u w:val="single"/>
        </w:rPr>
        <w:t xml:space="preserve">entation </w:t>
      </w:r>
      <w:r w:rsidR="00BF0DA7">
        <w:rPr>
          <w:i/>
          <w:u w:val="single"/>
        </w:rPr>
        <w:t>juridique</w:t>
      </w:r>
      <w:r w:rsidR="00AA634A" w:rsidRPr="0072532F">
        <w:t xml:space="preserve"> </w:t>
      </w:r>
      <w:r w:rsidR="00BF0DA7">
        <w:t>ont également diminué;</w:t>
      </w:r>
      <w:r w:rsidR="00AA634A" w:rsidRPr="0072532F">
        <w:t xml:space="preserve"> </w:t>
      </w:r>
      <w:r w:rsidR="00AA634A" w:rsidRPr="00BF0DA7">
        <w:t xml:space="preserve">90% </w:t>
      </w:r>
      <w:r w:rsidR="00BF0DA7" w:rsidRPr="00BF0DA7">
        <w:t>d</w:t>
      </w:r>
      <w:r w:rsidR="00BF0DA7">
        <w:t xml:space="preserve">es demandeurs </w:t>
      </w:r>
      <w:r w:rsidR="00E36BFE">
        <w:t>ne sont pas représentés</w:t>
      </w:r>
      <w:r w:rsidR="00E041B5" w:rsidRPr="00897DDB">
        <w:rPr>
          <w:rStyle w:val="FootnoteReference"/>
        </w:rPr>
        <w:footnoteReference w:id="12"/>
      </w:r>
      <w:r w:rsidR="00E041B5" w:rsidRPr="00BF0DA7">
        <w:t xml:space="preserve">. </w:t>
      </w:r>
      <w:r w:rsidR="00524E88" w:rsidRPr="00E17788">
        <w:t xml:space="preserve">Huit pour cent des demandeurs représentés ont vu leur affaire </w:t>
      </w:r>
      <w:r w:rsidR="00E17788" w:rsidRPr="00E17788">
        <w:t xml:space="preserve">renvoyée, </w:t>
      </w:r>
      <w:r w:rsidR="00166002">
        <w:t>contre</w:t>
      </w:r>
      <w:r w:rsidR="00E17788">
        <w:t xml:space="preserve"> 2 % seulement des demandeur</w:t>
      </w:r>
      <w:r w:rsidR="00166002">
        <w:t>s</w:t>
      </w:r>
      <w:r w:rsidR="00E17788">
        <w:t xml:space="preserve"> non représentés</w:t>
      </w:r>
      <w:r w:rsidR="00AA634A" w:rsidRPr="00E17788">
        <w:t>.</w:t>
      </w:r>
      <w:r w:rsidR="00E3728F" w:rsidRPr="00E17788">
        <w:t xml:space="preserve"> </w:t>
      </w:r>
      <w:r w:rsidR="00166002" w:rsidRPr="00166002">
        <w:t>Sur la question des</w:t>
      </w:r>
      <w:r w:rsidR="00AA634A" w:rsidRPr="00166002">
        <w:t xml:space="preserve"> </w:t>
      </w:r>
      <w:r w:rsidR="00166002" w:rsidRPr="00166002">
        <w:rPr>
          <w:i/>
          <w:u w:val="single"/>
        </w:rPr>
        <w:t xml:space="preserve">affaires </w:t>
      </w:r>
      <w:r w:rsidR="00FD1540">
        <w:rPr>
          <w:i/>
          <w:u w:val="single"/>
        </w:rPr>
        <w:t xml:space="preserve">liées </w:t>
      </w:r>
      <w:r w:rsidR="00E41F0B">
        <w:rPr>
          <w:i/>
          <w:u w:val="single"/>
        </w:rPr>
        <w:t>à des peines</w:t>
      </w:r>
      <w:r w:rsidR="00BE1A36">
        <w:rPr>
          <w:i/>
          <w:u w:val="single"/>
        </w:rPr>
        <w:t xml:space="preserve"> et celles liées aux déclarations de culpabilité sur procédure sommaire</w:t>
      </w:r>
      <w:r w:rsidR="00E041B5" w:rsidRPr="00166002">
        <w:t xml:space="preserve">, </w:t>
      </w:r>
      <w:r w:rsidR="00166002" w:rsidRPr="00166002">
        <w:t>dans le</w:t>
      </w:r>
      <w:r w:rsidR="00166002">
        <w:t xml:space="preserve"> contexte du financement, le rapport conclut ceci :</w:t>
      </w:r>
    </w:p>
    <w:p w14:paraId="6E38D48C" w14:textId="0605BB2D" w:rsidR="00FF62CF" w:rsidRPr="00166002" w:rsidRDefault="00E36BFE" w:rsidP="00462EA7">
      <w:pPr>
        <w:pStyle w:val="ListParagraph"/>
        <w:spacing w:line="240" w:lineRule="auto"/>
        <w:ind w:left="1440"/>
        <w:jc w:val="both"/>
      </w:pPr>
      <w:r w:rsidRPr="00462EA7">
        <w:t>[</w:t>
      </w:r>
      <w:r w:rsidRPr="00462EA7">
        <w:rPr>
          <w:sz w:val="18"/>
          <w:szCs w:val="18"/>
        </w:rPr>
        <w:t>TRADUCTION</w:t>
      </w:r>
      <w:r w:rsidRPr="00462EA7">
        <w:t>] « No</w:t>
      </w:r>
      <w:r w:rsidR="00462EA7" w:rsidRPr="00462EA7">
        <w:t xml:space="preserve">us ne recommandons pas </w:t>
      </w:r>
      <w:r w:rsidR="00BE1A36">
        <w:t xml:space="preserve">de régler </w:t>
      </w:r>
      <w:r w:rsidR="00462EA7" w:rsidRPr="00462EA7">
        <w:t>le</w:t>
      </w:r>
      <w:r w:rsidR="00667CC9" w:rsidRPr="00462EA7">
        <w:t xml:space="preserve"> sous-financement de la CCRC </w:t>
      </w:r>
      <w:r w:rsidR="00462EA7" w:rsidRPr="00462EA7">
        <w:t xml:space="preserve">en retirant </w:t>
      </w:r>
      <w:r w:rsidR="00462EA7">
        <w:t>de son champ d’application</w:t>
      </w:r>
      <w:r w:rsidR="00462EA7" w:rsidRPr="00462EA7">
        <w:t xml:space="preserve"> les </w:t>
      </w:r>
      <w:r w:rsidR="00524E88" w:rsidRPr="00462EA7">
        <w:t xml:space="preserve">affaires </w:t>
      </w:r>
      <w:r w:rsidR="00667CC9" w:rsidRPr="00462EA7">
        <w:t>provenan</w:t>
      </w:r>
      <w:r w:rsidR="00462EA7" w:rsidRPr="00462EA7">
        <w:t>t</w:t>
      </w:r>
      <w:r w:rsidR="00667CC9" w:rsidRPr="00462EA7">
        <w:t xml:space="preserve"> </w:t>
      </w:r>
      <w:r w:rsidR="00524E88" w:rsidRPr="00462EA7">
        <w:t>des tribunaux d’instance</w:t>
      </w:r>
      <w:r w:rsidR="00E41F0B">
        <w:t>s sommaires</w:t>
      </w:r>
      <w:r w:rsidR="00524E88" w:rsidRPr="00462EA7">
        <w:t xml:space="preserve"> </w:t>
      </w:r>
      <w:r w:rsidR="00462EA7" w:rsidRPr="00462EA7">
        <w:t xml:space="preserve">ou </w:t>
      </w:r>
      <w:r w:rsidR="00462EA7">
        <w:t>celles lié</w:t>
      </w:r>
      <w:r w:rsidR="00655436">
        <w:t>e</w:t>
      </w:r>
      <w:r w:rsidR="00462EA7">
        <w:t>s à des peines.</w:t>
      </w:r>
      <w:r w:rsidR="00AA634A" w:rsidRPr="00462EA7">
        <w:t xml:space="preserve"> </w:t>
      </w:r>
      <w:r w:rsidR="00166002" w:rsidRPr="00166002">
        <w:t xml:space="preserve">Nous pensons qu’une </w:t>
      </w:r>
      <w:r w:rsidR="00462EA7">
        <w:t>déclaration de culpabilité</w:t>
      </w:r>
      <w:r w:rsidR="00166002" w:rsidRPr="00166002">
        <w:t xml:space="preserve"> dans les tribunaux d’instance</w:t>
      </w:r>
      <w:r w:rsidR="00E41F0B">
        <w:t>s sommaires</w:t>
      </w:r>
      <w:r w:rsidR="00166002" w:rsidRPr="00166002">
        <w:t xml:space="preserve"> </w:t>
      </w:r>
      <w:r w:rsidR="002F44AC">
        <w:t>a</w:t>
      </w:r>
      <w:r w:rsidR="00166002" w:rsidRPr="00166002">
        <w:t xml:space="preserve"> des répercussions </w:t>
      </w:r>
      <w:r w:rsidR="00462EA7">
        <w:t xml:space="preserve">graves et </w:t>
      </w:r>
      <w:r w:rsidR="00166002" w:rsidRPr="00166002">
        <w:t xml:space="preserve">durables </w:t>
      </w:r>
      <w:r w:rsidR="00462EA7">
        <w:t>dans</w:t>
      </w:r>
      <w:r w:rsidR="00166002" w:rsidRPr="00166002">
        <w:t xml:space="preserve"> la vi</w:t>
      </w:r>
      <w:r w:rsidR="00166002">
        <w:t xml:space="preserve">e d’une personne, et qu’une </w:t>
      </w:r>
      <w:r w:rsidR="00E41F0B">
        <w:t>peine</w:t>
      </w:r>
      <w:r w:rsidR="00166002">
        <w:t xml:space="preserve"> manifestement excessive ou non conforme à la loi constitue une injustice </w:t>
      </w:r>
      <w:r w:rsidR="00655436">
        <w:t>devant</w:t>
      </w:r>
      <w:r w:rsidR="00166002">
        <w:t xml:space="preserve"> être réparée ». </w:t>
      </w:r>
    </w:p>
    <w:p w14:paraId="153EF1CD" w14:textId="77777777" w:rsidR="00FF62CF" w:rsidRPr="00166002" w:rsidRDefault="00FF62CF" w:rsidP="00FF62CF">
      <w:pPr>
        <w:pStyle w:val="ListParagraph"/>
        <w:spacing w:line="240" w:lineRule="auto"/>
        <w:ind w:left="1440"/>
        <w:jc w:val="both"/>
      </w:pPr>
    </w:p>
    <w:p w14:paraId="2ACF1187" w14:textId="606F3AAE" w:rsidR="00FF62CF" w:rsidRPr="00E36BFE" w:rsidRDefault="00E36BFE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 w:rsidRPr="00E36BFE">
        <w:rPr>
          <w:b/>
        </w:rPr>
        <w:t xml:space="preserve">Les recommandations en matière de financement se trouvent à </w:t>
      </w:r>
      <w:r>
        <w:rPr>
          <w:b/>
        </w:rPr>
        <w:t xml:space="preserve">la page 31 du </w:t>
      </w:r>
      <w:hyperlink r:id="rId15" w:history="1">
        <w:r w:rsidR="00311FD1" w:rsidRPr="00E36BFE">
          <w:rPr>
            <w:rStyle w:val="Hyperlink"/>
            <w:b/>
          </w:rPr>
          <w:t>r</w:t>
        </w:r>
        <w:r>
          <w:rPr>
            <w:rStyle w:val="Hyperlink"/>
            <w:b/>
          </w:rPr>
          <w:t>apport</w:t>
        </w:r>
      </w:hyperlink>
      <w:r w:rsidR="00FF62CF" w:rsidRPr="00E36BFE">
        <w:rPr>
          <w:b/>
        </w:rPr>
        <w:t>.</w:t>
      </w:r>
    </w:p>
    <w:p w14:paraId="64E02987" w14:textId="77777777" w:rsidR="00FF62CF" w:rsidRPr="00E36BFE" w:rsidRDefault="00FF62CF" w:rsidP="00FF62CF">
      <w:pPr>
        <w:pStyle w:val="ListParagraph"/>
        <w:spacing w:line="240" w:lineRule="auto"/>
        <w:jc w:val="both"/>
      </w:pPr>
    </w:p>
    <w:p w14:paraId="06A616CF" w14:textId="4EBC1DF6" w:rsidR="00591FC5" w:rsidRPr="003970A8" w:rsidRDefault="00462EA7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 w:rsidRPr="00F75D05">
        <w:t>En ce qui concerne</w:t>
      </w:r>
      <w:r w:rsidR="008E39BF" w:rsidRPr="00F75D05">
        <w:t xml:space="preserve"> le</w:t>
      </w:r>
      <w:r w:rsidR="00463FEA" w:rsidRPr="00F75D05">
        <w:t xml:space="preserve"> </w:t>
      </w:r>
      <w:r w:rsidR="008E39BF" w:rsidRPr="00F75D05">
        <w:rPr>
          <w:u w:val="single"/>
        </w:rPr>
        <w:t xml:space="preserve">cadre </w:t>
      </w:r>
      <w:r w:rsidR="000E61BE">
        <w:rPr>
          <w:u w:val="single"/>
        </w:rPr>
        <w:t>législatif</w:t>
      </w:r>
      <w:r w:rsidR="008E39BF" w:rsidRPr="00F75D05">
        <w:rPr>
          <w:u w:val="single"/>
        </w:rPr>
        <w:t xml:space="preserve"> et l</w:t>
      </w:r>
      <w:r w:rsidR="00F75D05" w:rsidRPr="00F75D05">
        <w:rPr>
          <w:u w:val="single"/>
        </w:rPr>
        <w:t xml:space="preserve">a relation </w:t>
      </w:r>
      <w:r w:rsidR="004C5B51">
        <w:rPr>
          <w:u w:val="single"/>
        </w:rPr>
        <w:t>à l’égard du tribunal d’appel</w:t>
      </w:r>
      <w:r w:rsidR="00E041B5" w:rsidRPr="00897DDB">
        <w:rPr>
          <w:rStyle w:val="FootnoteReference"/>
        </w:rPr>
        <w:footnoteReference w:id="13"/>
      </w:r>
      <w:r w:rsidR="00463FEA" w:rsidRPr="00F75D05">
        <w:t xml:space="preserve">, </w:t>
      </w:r>
      <w:r w:rsidR="00F75D05" w:rsidRPr="00F75D05">
        <w:t>le</w:t>
      </w:r>
      <w:r w:rsidR="00463FEA" w:rsidRPr="00F75D05">
        <w:t xml:space="preserve"> </w:t>
      </w:r>
      <w:r w:rsidR="00F75D05" w:rsidRPr="00F75D05">
        <w:rPr>
          <w:b/>
          <w:i/>
        </w:rPr>
        <w:t>critère de renvoi au tribunal d’appel</w:t>
      </w:r>
      <w:r w:rsidR="00463FEA" w:rsidRPr="00F75D05">
        <w:t xml:space="preserve"> </w:t>
      </w:r>
      <w:r w:rsidR="00F75D05">
        <w:t xml:space="preserve">a été abordé en détail dans les témoignages. </w:t>
      </w:r>
      <w:r w:rsidR="006760B0" w:rsidRPr="003D70FB">
        <w:t>On y a souligné l</w:t>
      </w:r>
      <w:r w:rsidR="00302F7F">
        <w:t>’effet miroir entre</w:t>
      </w:r>
      <w:r w:rsidR="006760B0" w:rsidRPr="003D70FB">
        <w:t xml:space="preserve"> le critère des erreurs judiciaires pour la CCRC écossaise </w:t>
      </w:r>
      <w:r w:rsidR="00302F7F">
        <w:t>et</w:t>
      </w:r>
      <w:r w:rsidR="006760B0" w:rsidRPr="003D70FB">
        <w:t xml:space="preserve"> celui </w:t>
      </w:r>
      <w:r w:rsidR="003D70FB" w:rsidRPr="003D70FB">
        <w:t>prévu par la</w:t>
      </w:r>
      <w:r w:rsidR="003D70FB">
        <w:t xml:space="preserve"> loi appliqué à la cour d’appel écossaise. </w:t>
      </w:r>
      <w:r w:rsidR="003D70FB" w:rsidRPr="003E0B43">
        <w:t xml:space="preserve">Un </w:t>
      </w:r>
      <w:r w:rsidR="00304D96">
        <w:t>conseiller de la reine</w:t>
      </w:r>
      <w:r w:rsidR="003D70FB" w:rsidRPr="003E0B43">
        <w:t xml:space="preserve"> en matière d’appel </w:t>
      </w:r>
      <w:r w:rsidR="007259F2" w:rsidRPr="003E0B43">
        <w:t xml:space="preserve">pénal a suggéré </w:t>
      </w:r>
      <w:r w:rsidR="00302F7F">
        <w:t>que la présence ou non d’</w:t>
      </w:r>
      <w:r w:rsidR="003E0B43" w:rsidRPr="003E0B43">
        <w:t>un motif d’appel dé</w:t>
      </w:r>
      <w:r w:rsidR="003E0B43">
        <w:t>fendable devrait constituer</w:t>
      </w:r>
      <w:r w:rsidR="007259F2" w:rsidRPr="003E0B43">
        <w:t xml:space="preserve"> le s</w:t>
      </w:r>
      <w:r w:rsidR="003E0B43" w:rsidRPr="003E0B43">
        <w:t>e</w:t>
      </w:r>
      <w:r w:rsidR="007259F2" w:rsidRPr="003E0B43">
        <w:t>uil de renvoi</w:t>
      </w:r>
      <w:r w:rsidR="003E0B43">
        <w:t xml:space="preserve">. </w:t>
      </w:r>
      <w:r w:rsidR="003E0B43" w:rsidRPr="003E0B43">
        <w:t xml:space="preserve">La </w:t>
      </w:r>
      <w:r w:rsidR="000F14F8">
        <w:t>c</w:t>
      </w:r>
      <w:r w:rsidR="003E0B43" w:rsidRPr="003E0B43">
        <w:t xml:space="preserve">ommission s’est penchée sur le critère de la </w:t>
      </w:r>
      <w:r w:rsidR="003E0B43">
        <w:t xml:space="preserve">CCRC en </w:t>
      </w:r>
      <w:r w:rsidR="003E0B43" w:rsidRPr="003E0B43">
        <w:t>Nouv</w:t>
      </w:r>
      <w:r w:rsidR="003E0B43">
        <w:t>elle-Zélande</w:t>
      </w:r>
      <w:r w:rsidR="00E041B5" w:rsidRPr="00897DDB">
        <w:rPr>
          <w:rStyle w:val="FootnoteReference"/>
        </w:rPr>
        <w:footnoteReference w:id="14"/>
      </w:r>
      <w:r w:rsidR="00833B71">
        <w:t>, duquel</w:t>
      </w:r>
      <w:r w:rsidR="003E0B43">
        <w:t xml:space="preserve"> ses recommandations découlent en partie</w:t>
      </w:r>
      <w:r w:rsidR="00463FEA" w:rsidRPr="003E0B43">
        <w:t xml:space="preserve">. </w:t>
      </w:r>
      <w:r w:rsidR="00833B71" w:rsidRPr="00833B71">
        <w:t xml:space="preserve">On </w:t>
      </w:r>
      <w:r w:rsidR="002D7DA8">
        <w:t>fait remarquer</w:t>
      </w:r>
      <w:r w:rsidR="00833B71" w:rsidRPr="00833B71">
        <w:t xml:space="preserve"> que le taux de réussite de la CCRC en matière de</w:t>
      </w:r>
      <w:r w:rsidR="00833B71">
        <w:t xml:space="preserve"> renvois au tribunal d’appel</w:t>
      </w:r>
      <w:r w:rsidR="00463FEA" w:rsidRPr="00833B71">
        <w:t xml:space="preserve"> (</w:t>
      </w:r>
      <w:r w:rsidR="00814FA2" w:rsidRPr="00833B71">
        <w:t>près de </w:t>
      </w:r>
      <w:r w:rsidR="00463FEA" w:rsidRPr="00833B71">
        <w:t>70</w:t>
      </w:r>
      <w:r w:rsidR="00814FA2" w:rsidRPr="00833B71">
        <w:t> </w:t>
      </w:r>
      <w:r w:rsidR="00463FEA" w:rsidRPr="00833B71">
        <w:t xml:space="preserve">%) </w:t>
      </w:r>
      <w:r w:rsidR="003970A8">
        <w:t>sembl</w:t>
      </w:r>
      <w:r w:rsidR="00B501DD">
        <w:t>e</w:t>
      </w:r>
      <w:r w:rsidR="003970A8">
        <w:t xml:space="preserve"> </w:t>
      </w:r>
      <w:r w:rsidR="002D7DA8">
        <w:t>dénoter</w:t>
      </w:r>
      <w:r w:rsidR="003970A8">
        <w:t xml:space="preserve"> une prudence </w:t>
      </w:r>
      <w:r w:rsidR="00B501DD">
        <w:t>excessive</w:t>
      </w:r>
      <w:r w:rsidR="00E041B5" w:rsidRPr="00897DDB">
        <w:rPr>
          <w:rStyle w:val="FootnoteReference"/>
        </w:rPr>
        <w:footnoteReference w:id="15"/>
      </w:r>
      <w:r w:rsidR="00463FEA" w:rsidRPr="00833B71">
        <w:t>.</w:t>
      </w:r>
      <w:r w:rsidR="00640993" w:rsidRPr="00833B71">
        <w:t xml:space="preserve"> </w:t>
      </w:r>
      <w:r w:rsidR="003970A8" w:rsidRPr="003970A8">
        <w:t>Le rapport du GPM contient la recommandation suivante</w:t>
      </w:r>
      <w:r w:rsidR="00E041B5" w:rsidRPr="00897DDB">
        <w:rPr>
          <w:rStyle w:val="FootnoteReference"/>
        </w:rPr>
        <w:footnoteReference w:id="16"/>
      </w:r>
      <w:r w:rsidR="003970A8" w:rsidRPr="003970A8">
        <w:t> </w:t>
      </w:r>
      <w:r w:rsidR="00463FEA" w:rsidRPr="003970A8">
        <w:t>:</w:t>
      </w:r>
    </w:p>
    <w:p w14:paraId="2CC5B2DB" w14:textId="6D1185E6" w:rsidR="00732B15" w:rsidRPr="00442054" w:rsidRDefault="00833B71" w:rsidP="00311FD1">
      <w:pPr>
        <w:pStyle w:val="ListParagraph"/>
        <w:spacing w:line="240" w:lineRule="auto"/>
        <w:ind w:left="1440"/>
        <w:jc w:val="both"/>
        <w:rPr>
          <w:b/>
          <w:i/>
        </w:rPr>
      </w:pPr>
      <w:r w:rsidRPr="002D029A">
        <w:rPr>
          <w:rFonts w:cstheme="minorHAnsi"/>
          <w:bCs/>
          <w:iCs/>
        </w:rPr>
        <w:t>[</w:t>
      </w:r>
      <w:r w:rsidRPr="002D029A">
        <w:rPr>
          <w:rFonts w:cstheme="minorHAnsi"/>
          <w:bCs/>
          <w:iCs/>
          <w:sz w:val="18"/>
          <w:szCs w:val="18"/>
        </w:rPr>
        <w:t>TRADUCTION</w:t>
      </w:r>
      <w:r w:rsidRPr="002D029A">
        <w:rPr>
          <w:rFonts w:cstheme="minorHAnsi"/>
          <w:bCs/>
          <w:iCs/>
        </w:rPr>
        <w:t>]</w:t>
      </w:r>
      <w:r w:rsidRPr="002D029A">
        <w:rPr>
          <w:rFonts w:cstheme="minorHAnsi"/>
          <w:b/>
          <w:iCs/>
        </w:rPr>
        <w:t xml:space="preserve"> </w:t>
      </w:r>
      <w:r w:rsidRPr="002D029A">
        <w:rPr>
          <w:rFonts w:cstheme="minorHAnsi"/>
          <w:b/>
          <w:i/>
        </w:rPr>
        <w:t>«</w:t>
      </w:r>
      <w:r w:rsidRPr="002D029A">
        <w:rPr>
          <w:b/>
          <w:i/>
        </w:rPr>
        <w:t> L</w:t>
      </w:r>
      <w:r w:rsidR="00814FA2" w:rsidRPr="002D029A">
        <w:rPr>
          <w:b/>
          <w:i/>
        </w:rPr>
        <w:t xml:space="preserve">e critère de la “possibilité réelle” </w:t>
      </w:r>
      <w:r w:rsidR="003970A8" w:rsidRPr="002D029A">
        <w:rPr>
          <w:b/>
          <w:i/>
        </w:rPr>
        <w:t xml:space="preserve">devrait être redéfini de manière </w:t>
      </w:r>
      <w:r w:rsidR="009762C7">
        <w:rPr>
          <w:b/>
          <w:i/>
        </w:rPr>
        <w:t xml:space="preserve">à </w:t>
      </w:r>
      <w:r w:rsidR="003970A8" w:rsidRPr="002D029A">
        <w:rPr>
          <w:b/>
          <w:i/>
        </w:rPr>
        <w:t xml:space="preserve">permettre </w:t>
      </w:r>
      <w:r w:rsidR="00B501DD" w:rsidRPr="002D029A">
        <w:rPr>
          <w:b/>
          <w:i/>
        </w:rPr>
        <w:t xml:space="preserve">expressément à la </w:t>
      </w:r>
      <w:r w:rsidR="00463FEA" w:rsidRPr="002D029A">
        <w:rPr>
          <w:b/>
          <w:i/>
        </w:rPr>
        <w:t xml:space="preserve">CCRC </w:t>
      </w:r>
      <w:r w:rsidR="002D029A" w:rsidRPr="002D029A">
        <w:rPr>
          <w:b/>
          <w:i/>
        </w:rPr>
        <w:t>de renvoyer l</w:t>
      </w:r>
      <w:r w:rsidR="0072342E">
        <w:rPr>
          <w:b/>
          <w:i/>
        </w:rPr>
        <w:t>’affaire</w:t>
      </w:r>
      <w:r w:rsidR="002D029A" w:rsidRPr="002D029A">
        <w:rPr>
          <w:b/>
          <w:i/>
        </w:rPr>
        <w:t xml:space="preserve"> lo</w:t>
      </w:r>
      <w:r w:rsidR="002D029A">
        <w:rPr>
          <w:b/>
          <w:i/>
        </w:rPr>
        <w:t>rsqu’</w:t>
      </w:r>
      <w:r w:rsidR="0072342E">
        <w:rPr>
          <w:b/>
          <w:i/>
        </w:rPr>
        <w:t>elle</w:t>
      </w:r>
      <w:r w:rsidR="002D029A">
        <w:rPr>
          <w:b/>
          <w:i/>
        </w:rPr>
        <w:t xml:space="preserve"> juge que la </w:t>
      </w:r>
      <w:r w:rsidR="0072342E">
        <w:rPr>
          <w:b/>
          <w:i/>
        </w:rPr>
        <w:t>déclaration de culpabilité</w:t>
      </w:r>
      <w:r w:rsidR="002D029A">
        <w:rPr>
          <w:b/>
          <w:i/>
        </w:rPr>
        <w:t xml:space="preserve"> </w:t>
      </w:r>
      <w:r w:rsidR="00304D96">
        <w:rPr>
          <w:b/>
          <w:i/>
        </w:rPr>
        <w:t>n’est pas fiable</w:t>
      </w:r>
      <w:r w:rsidR="00463FEA" w:rsidRPr="002D029A">
        <w:rPr>
          <w:b/>
          <w:i/>
        </w:rPr>
        <w:t xml:space="preserve">, </w:t>
      </w:r>
      <w:r w:rsidR="00BE1A36">
        <w:rPr>
          <w:b/>
          <w:i/>
        </w:rPr>
        <w:t xml:space="preserve">que la peine </w:t>
      </w:r>
      <w:r w:rsidR="002D7DA8">
        <w:rPr>
          <w:b/>
          <w:i/>
        </w:rPr>
        <w:t>serait</w:t>
      </w:r>
      <w:r w:rsidR="00BE1A36">
        <w:rPr>
          <w:b/>
          <w:i/>
        </w:rPr>
        <w:t xml:space="preserve"> manifestement excessive ou </w:t>
      </w:r>
      <w:r w:rsidR="00C53953">
        <w:rPr>
          <w:b/>
          <w:i/>
        </w:rPr>
        <w:t xml:space="preserve">erronée en droit, ou encore lorsqu’elle conclut qu’un tel renvoi serait dans l’intérêt de la justice. </w:t>
      </w:r>
      <w:r w:rsidR="00C53953" w:rsidRPr="00442054">
        <w:rPr>
          <w:b/>
          <w:i/>
        </w:rPr>
        <w:t xml:space="preserve">Par définition, cela inclurait toutes les affaires </w:t>
      </w:r>
      <w:r w:rsidR="008D3612">
        <w:rPr>
          <w:b/>
          <w:i/>
        </w:rPr>
        <w:t>qualifiées, selon elle, d’</w:t>
      </w:r>
      <w:r w:rsidR="00C53953" w:rsidRPr="00442054">
        <w:rPr>
          <w:b/>
          <w:i/>
        </w:rPr>
        <w:t xml:space="preserve">erreur judiciaire, y compris </w:t>
      </w:r>
      <w:r w:rsidR="008D3612">
        <w:rPr>
          <w:b/>
          <w:i/>
        </w:rPr>
        <w:t>celles</w:t>
      </w:r>
      <w:r w:rsidR="00C53953" w:rsidRPr="00442054">
        <w:rPr>
          <w:b/>
          <w:i/>
        </w:rPr>
        <w:t xml:space="preserve"> </w:t>
      </w:r>
      <w:r w:rsidR="00442054" w:rsidRPr="00442054">
        <w:rPr>
          <w:b/>
          <w:i/>
        </w:rPr>
        <w:t>su</w:t>
      </w:r>
      <w:r w:rsidR="00442054">
        <w:rPr>
          <w:b/>
          <w:i/>
        </w:rPr>
        <w:t xml:space="preserve">r lesquelles plane un </w:t>
      </w:r>
      <w:r w:rsidR="008D3612">
        <w:rPr>
          <w:b/>
          <w:i/>
        </w:rPr>
        <w:t>doute</w:t>
      </w:r>
      <w:r w:rsidR="00463FEA" w:rsidRPr="00442054">
        <w:rPr>
          <w:b/>
          <w:i/>
        </w:rPr>
        <w:t>.</w:t>
      </w:r>
      <w:r w:rsidR="008D3612">
        <w:rPr>
          <w:b/>
          <w:i/>
        </w:rPr>
        <w:t> »</w:t>
      </w:r>
    </w:p>
    <w:p w14:paraId="376B431E" w14:textId="02374118" w:rsidR="00640993" w:rsidRPr="00C53953" w:rsidRDefault="00C53953" w:rsidP="00ED59F2">
      <w:pPr>
        <w:spacing w:line="240" w:lineRule="auto"/>
        <w:ind w:firstLine="720"/>
        <w:jc w:val="both"/>
      </w:pPr>
      <w:r w:rsidRPr="00C53953">
        <w:t xml:space="preserve">On recommande </w:t>
      </w:r>
      <w:r w:rsidR="00442054">
        <w:t>le retrait des</w:t>
      </w:r>
      <w:r w:rsidRPr="00C53953">
        <w:t xml:space="preserve"> cibles en matière de taux de ré</w:t>
      </w:r>
      <w:r>
        <w:t>ussite</w:t>
      </w:r>
      <w:r w:rsidR="008B0CAB" w:rsidRPr="00C53953">
        <w:t>.</w:t>
      </w:r>
    </w:p>
    <w:p w14:paraId="28FA9B49" w14:textId="522829ED" w:rsidR="008B0CAB" w:rsidRPr="00AD6BE9" w:rsidRDefault="00E36BFE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 w:rsidRPr="00AD6BE9">
        <w:t xml:space="preserve">Le rapport contient des recommandations à l’égard des </w:t>
      </w:r>
      <w:r w:rsidRPr="00AD6BE9">
        <w:rPr>
          <w:u w:val="single"/>
        </w:rPr>
        <w:t>affaires « sans appel</w:t>
      </w:r>
      <w:r w:rsidR="00E041B5" w:rsidRPr="00304D96">
        <w:rPr>
          <w:rStyle w:val="FootnoteReference"/>
          <w:u w:val="single"/>
        </w:rPr>
        <w:footnoteReference w:id="17"/>
      </w:r>
      <w:r w:rsidRPr="00304D96">
        <w:rPr>
          <w:u w:val="single"/>
        </w:rPr>
        <w:t> »</w:t>
      </w:r>
      <w:r w:rsidRPr="00AD6BE9">
        <w:t xml:space="preserve">, proposant que le délai de 28 jours pour interjeter appel en première instance soit prolongé et que les </w:t>
      </w:r>
      <w:r w:rsidR="00B501DD">
        <w:rPr>
          <w:rFonts w:cstheme="minorHAnsi"/>
        </w:rPr>
        <w:t>« </w:t>
      </w:r>
      <w:r w:rsidRPr="00AD6BE9">
        <w:t>circonstances exceptionnelles</w:t>
      </w:r>
      <w:r w:rsidR="00B501DD">
        <w:t> </w:t>
      </w:r>
      <w:r w:rsidR="00B501DD">
        <w:rPr>
          <w:rFonts w:cstheme="minorHAnsi"/>
        </w:rPr>
        <w:t>»</w:t>
      </w:r>
      <w:r w:rsidRPr="00AD6BE9">
        <w:t xml:space="preserve"> (pour examiner les affaires </w:t>
      </w:r>
      <w:r w:rsidR="00AD6BE9" w:rsidRPr="00AD6BE9">
        <w:t>sans appel) soient interprétées de</w:t>
      </w:r>
      <w:r w:rsidR="00AD6BE9">
        <w:t xml:space="preserve"> manière plus large</w:t>
      </w:r>
      <w:r w:rsidR="00E041B5" w:rsidRPr="00897DDB">
        <w:rPr>
          <w:rStyle w:val="FootnoteReference"/>
        </w:rPr>
        <w:footnoteReference w:id="18"/>
      </w:r>
      <w:r w:rsidR="00AD6BE9">
        <w:t> :</w:t>
      </w:r>
    </w:p>
    <w:p w14:paraId="3123FAA4" w14:textId="7DEFF4CF" w:rsidR="008B0CAB" w:rsidRPr="00C60408" w:rsidRDefault="00AD6BE9" w:rsidP="00FF62CF">
      <w:pPr>
        <w:pStyle w:val="ListParagraph"/>
        <w:spacing w:line="240" w:lineRule="auto"/>
        <w:ind w:left="1440"/>
        <w:jc w:val="both"/>
      </w:pPr>
      <w:r w:rsidRPr="00C60408">
        <w:t>[</w:t>
      </w:r>
      <w:r w:rsidRPr="00C60408">
        <w:rPr>
          <w:sz w:val="18"/>
          <w:szCs w:val="18"/>
        </w:rPr>
        <w:t>TRADUCTION</w:t>
      </w:r>
      <w:r w:rsidRPr="00C60408">
        <w:t>] « La</w:t>
      </w:r>
      <w:r w:rsidR="008B0CAB" w:rsidRPr="00C60408">
        <w:t xml:space="preserve"> CCRC </w:t>
      </w:r>
      <w:r w:rsidRPr="00C60408">
        <w:t>d</w:t>
      </w:r>
      <w:r w:rsidR="00304D96">
        <w:t>evra</w:t>
      </w:r>
      <w:r w:rsidRPr="00C60408">
        <w:t xml:space="preserve">it </w:t>
      </w:r>
      <w:r w:rsidR="00B501DD" w:rsidRPr="00C60408">
        <w:t>adopter une interprétation élargie de l’exigence liée aux « circonstances exceptionnelles </w:t>
      </w:r>
      <w:r w:rsidR="00B501DD" w:rsidRPr="00C60408">
        <w:rPr>
          <w:rFonts w:cstheme="minorHAnsi"/>
        </w:rPr>
        <w:t>»</w:t>
      </w:r>
      <w:r w:rsidR="00C60408" w:rsidRPr="00C60408">
        <w:t xml:space="preserve">, de manière à inclure les affaires où les </w:t>
      </w:r>
      <w:r w:rsidR="00C60408" w:rsidRPr="00C60408">
        <w:lastRenderedPageBreak/>
        <w:t xml:space="preserve">demandeurs peuvent démontrer qu’ils n’étaient pas en mesure d’exercer </w:t>
      </w:r>
      <w:r w:rsidR="00C60408">
        <w:t>leur</w:t>
      </w:r>
      <w:r w:rsidR="00C60408" w:rsidRPr="00C60408">
        <w:t xml:space="preserve"> droi</w:t>
      </w:r>
      <w:r w:rsidR="00C60408">
        <w:t xml:space="preserve">t d’appel à temps, y compris </w:t>
      </w:r>
      <w:r w:rsidR="00304D96">
        <w:t xml:space="preserve">l’impossibilité </w:t>
      </w:r>
      <w:r w:rsidR="002D7DA8">
        <w:t>d’</w:t>
      </w:r>
      <w:r w:rsidR="00C60408">
        <w:t>être représenté</w:t>
      </w:r>
      <w:r w:rsidR="009762C7">
        <w:t>s</w:t>
      </w:r>
      <w:r w:rsidR="00C60408">
        <w:t xml:space="preserve"> ou conseillé</w:t>
      </w:r>
      <w:r w:rsidR="009762C7">
        <w:t>s</w:t>
      </w:r>
      <w:r w:rsidR="00C60408">
        <w:t xml:space="preserve"> par un avocat</w:t>
      </w:r>
      <w:r w:rsidR="008B0CAB" w:rsidRPr="00C60408">
        <w:t xml:space="preserve">, </w:t>
      </w:r>
      <w:r w:rsidR="00C60408">
        <w:t>ainsi que lorsqu</w:t>
      </w:r>
      <w:r w:rsidR="00FB0023">
        <w:t xml:space="preserve">’on se trouve en présence </w:t>
      </w:r>
      <w:r w:rsidR="00C60408">
        <w:t xml:space="preserve">de nouveaux éléments de preuve ou de nouvelles techniques </w:t>
      </w:r>
      <w:r w:rsidR="00E8022B">
        <w:t xml:space="preserve">non disponibles </w:t>
      </w:r>
      <w:r w:rsidR="00FB0023">
        <w:t>auparavant</w:t>
      </w:r>
      <w:r w:rsidR="008B0CAB" w:rsidRPr="00C60408">
        <w:t>.</w:t>
      </w:r>
      <w:r w:rsidR="00FB0023">
        <w:t> »</w:t>
      </w:r>
    </w:p>
    <w:p w14:paraId="4C53251E" w14:textId="77777777" w:rsidR="00640993" w:rsidRPr="00C60408" w:rsidRDefault="00640993" w:rsidP="00FF62CF">
      <w:pPr>
        <w:pStyle w:val="ListParagraph"/>
        <w:spacing w:line="240" w:lineRule="auto"/>
        <w:ind w:left="1440"/>
        <w:jc w:val="both"/>
      </w:pPr>
    </w:p>
    <w:p w14:paraId="2CC3CAF0" w14:textId="7226D336" w:rsidR="008B0CAB" w:rsidRPr="00B21E3F" w:rsidRDefault="00B016D7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b/>
        </w:rPr>
        <w:t>D</w:t>
      </w:r>
      <w:r w:rsidRPr="00B21E3F">
        <w:rPr>
          <w:b/>
        </w:rPr>
        <w:t>ans son rapport</w:t>
      </w:r>
      <w:r>
        <w:rPr>
          <w:b/>
        </w:rPr>
        <w:t>, l</w:t>
      </w:r>
      <w:r w:rsidR="00E329C5" w:rsidRPr="00B21E3F">
        <w:rPr>
          <w:b/>
        </w:rPr>
        <w:t xml:space="preserve">e GPM recommande le retrait </w:t>
      </w:r>
      <w:r w:rsidR="00B21E3F" w:rsidRPr="00B21E3F">
        <w:rPr>
          <w:b/>
        </w:rPr>
        <w:t>du pouvoir discrétionnaire de n</w:t>
      </w:r>
      <w:r w:rsidR="00B21E3F">
        <w:rPr>
          <w:b/>
        </w:rPr>
        <w:t>on-renvoi</w:t>
      </w:r>
      <w:r w:rsidR="00E041B5" w:rsidRPr="00897DDB">
        <w:rPr>
          <w:rStyle w:val="FootnoteReference"/>
          <w:b/>
        </w:rPr>
        <w:footnoteReference w:id="19"/>
      </w:r>
      <w:r w:rsidR="00B21E3F">
        <w:rPr>
          <w:b/>
        </w:rPr>
        <w:t>.</w:t>
      </w:r>
      <w:r w:rsidR="008B0CAB" w:rsidRPr="00B21E3F">
        <w:t xml:space="preserve"> </w:t>
      </w:r>
    </w:p>
    <w:p w14:paraId="6E4D2743" w14:textId="77777777" w:rsidR="00640993" w:rsidRPr="00B21E3F" w:rsidRDefault="00640993" w:rsidP="00FF62CF">
      <w:pPr>
        <w:pStyle w:val="ListParagraph"/>
        <w:spacing w:line="240" w:lineRule="auto"/>
        <w:jc w:val="both"/>
      </w:pPr>
    </w:p>
    <w:p w14:paraId="20E81985" w14:textId="28946893" w:rsidR="00640993" w:rsidRPr="00236AB2" w:rsidRDefault="00B016D7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 w:rsidRPr="00B016D7">
        <w:t xml:space="preserve">En ce qui concerne le </w:t>
      </w:r>
      <w:r w:rsidRPr="00B016D7">
        <w:rPr>
          <w:u w:val="single"/>
        </w:rPr>
        <w:t>cadre juridique d</w:t>
      </w:r>
      <w:r w:rsidR="00FD11EC">
        <w:rPr>
          <w:u w:val="single"/>
        </w:rPr>
        <w:t>e la cour</w:t>
      </w:r>
      <w:r w:rsidRPr="00B016D7">
        <w:rPr>
          <w:u w:val="single"/>
        </w:rPr>
        <w:t xml:space="preserve"> d’appel</w:t>
      </w:r>
      <w:r w:rsidR="00E041B5" w:rsidRPr="00B016D7">
        <w:rPr>
          <w:rStyle w:val="FootnoteReference"/>
        </w:rPr>
        <w:footnoteReference w:id="20"/>
      </w:r>
      <w:r w:rsidRPr="00B016D7">
        <w:t>,</w:t>
      </w:r>
      <w:r w:rsidR="00BA52F8" w:rsidRPr="00B016D7">
        <w:t xml:space="preserve"> </w:t>
      </w:r>
      <w:r>
        <w:t xml:space="preserve">un certain nombre d’intervenants consultés ont proposé d’accorder à la CCRC le </w:t>
      </w:r>
      <w:r w:rsidR="00F97F42">
        <w:rPr>
          <w:b/>
          <w:bCs/>
          <w:i/>
          <w:iCs/>
        </w:rPr>
        <w:t>pouvoir d’annuler une condamnation</w:t>
      </w:r>
      <w:r w:rsidR="00F97F42" w:rsidRPr="00F97F42">
        <w:rPr>
          <w:i/>
          <w:iCs/>
        </w:rPr>
        <w:t>.</w:t>
      </w:r>
      <w:r w:rsidR="00BA52F8" w:rsidRPr="00B016D7">
        <w:t xml:space="preserve"> </w:t>
      </w:r>
      <w:r w:rsidR="00F97F42" w:rsidRPr="009762C7">
        <w:t>Le rapport conclut le contraire</w:t>
      </w:r>
      <w:r w:rsidR="00E041B5" w:rsidRPr="00897DDB">
        <w:rPr>
          <w:rStyle w:val="FootnoteReference"/>
        </w:rPr>
        <w:footnoteReference w:id="21"/>
      </w:r>
      <w:r w:rsidR="00BA52F8" w:rsidRPr="009762C7">
        <w:t xml:space="preserve">. </w:t>
      </w:r>
      <w:r w:rsidR="00AB2B1A" w:rsidRPr="00236AB2">
        <w:t xml:space="preserve">On propose </w:t>
      </w:r>
      <w:r w:rsidR="0004414A" w:rsidRPr="00236AB2">
        <w:t>une recommandation de</w:t>
      </w:r>
      <w:r w:rsidR="00961CC8" w:rsidRPr="00236AB2">
        <w:t xml:space="preserve"> solution consistant à demander</w:t>
      </w:r>
      <w:r w:rsidR="002D7DA8">
        <w:t xml:space="preserve"> à</w:t>
      </w:r>
      <w:r w:rsidR="00961CC8" w:rsidRPr="00236AB2">
        <w:t xml:space="preserve"> la </w:t>
      </w:r>
      <w:r w:rsidR="00BA52F8" w:rsidRPr="00236AB2">
        <w:t>Commission</w:t>
      </w:r>
      <w:r w:rsidR="00CD7DDD" w:rsidRPr="00236AB2">
        <w:t xml:space="preserve"> </w:t>
      </w:r>
      <w:r w:rsidR="00FD11EC">
        <w:t xml:space="preserve">de droit </w:t>
      </w:r>
      <w:r w:rsidR="00CD7DDD" w:rsidRPr="00236AB2">
        <w:t xml:space="preserve">de se pencher sur des changements </w:t>
      </w:r>
      <w:r w:rsidR="00EA7558" w:rsidRPr="00236AB2">
        <w:t>législatifs</w:t>
      </w:r>
      <w:r w:rsidR="00BA52F8" w:rsidRPr="00236AB2">
        <w:t xml:space="preserve"> </w:t>
      </w:r>
      <w:r w:rsidR="00CA1209" w:rsidRPr="00236AB2">
        <w:t>pour :</w:t>
      </w:r>
      <w:r w:rsidR="00E3728F" w:rsidRPr="00236AB2">
        <w:t xml:space="preserve"> a. </w:t>
      </w:r>
      <w:r w:rsidR="00BA52F8" w:rsidRPr="00236AB2">
        <w:t>encourage</w:t>
      </w:r>
      <w:r w:rsidR="00CA1209" w:rsidRPr="00236AB2">
        <w:t>r l</w:t>
      </w:r>
      <w:r w:rsidR="00FD11EC">
        <w:t>a cour</w:t>
      </w:r>
      <w:r w:rsidR="00CA1209" w:rsidRPr="00236AB2">
        <w:t xml:space="preserve"> d’appel à annuler une condamnation lorsqu’il a un doute sérieux</w:t>
      </w:r>
      <w:r w:rsidR="00BA52F8" w:rsidRPr="00236AB2">
        <w:t xml:space="preserve"> </w:t>
      </w:r>
      <w:r w:rsidR="006D1B35" w:rsidRPr="00236AB2">
        <w:t>à propos du verdict</w:t>
      </w:r>
      <w:r w:rsidR="00BA52F8" w:rsidRPr="00236AB2">
        <w:t xml:space="preserve">, </w:t>
      </w:r>
      <w:r w:rsidR="006D1B35" w:rsidRPr="00236AB2">
        <w:t xml:space="preserve">et ce, même </w:t>
      </w:r>
      <w:r w:rsidR="00236AB2" w:rsidRPr="00236AB2">
        <w:t>s’il n’y a aucun</w:t>
      </w:r>
      <w:r w:rsidR="006D1B35" w:rsidRPr="00236AB2">
        <w:t xml:space="preserve"> </w:t>
      </w:r>
      <w:r w:rsidR="00DA3BC5" w:rsidRPr="00236AB2">
        <w:t>nouve</w:t>
      </w:r>
      <w:r w:rsidR="00F841FA">
        <w:t>l</w:t>
      </w:r>
      <w:r w:rsidR="00DA3BC5" w:rsidRPr="00236AB2">
        <w:t xml:space="preserve"> élément de preuve</w:t>
      </w:r>
      <w:r w:rsidR="005C6FC9" w:rsidRPr="00236AB2">
        <w:t xml:space="preserve"> </w:t>
      </w:r>
      <w:r w:rsidR="00236AB2">
        <w:t>ni</w:t>
      </w:r>
      <w:r w:rsidR="00236AB2" w:rsidRPr="00236AB2">
        <w:t xml:space="preserve"> nouve</w:t>
      </w:r>
      <w:r w:rsidR="00F841FA">
        <w:t>l</w:t>
      </w:r>
      <w:r w:rsidR="00236AB2" w:rsidRPr="00236AB2">
        <w:t xml:space="preserve"> argument</w:t>
      </w:r>
      <w:r w:rsidR="00E3728F" w:rsidRPr="00236AB2">
        <w:t xml:space="preserve">; </w:t>
      </w:r>
      <w:r w:rsidR="00BA52F8" w:rsidRPr="00236AB2">
        <w:t xml:space="preserve">b. </w:t>
      </w:r>
      <w:r w:rsidR="004F049C">
        <w:t>établir et favoriser l’examen cumulatif des questions</w:t>
      </w:r>
      <w:r w:rsidR="00BA52F8" w:rsidRPr="00236AB2">
        <w:t xml:space="preserve">; c. </w:t>
      </w:r>
      <w:r w:rsidR="00F841FA">
        <w:t xml:space="preserve">permettre </w:t>
      </w:r>
      <w:r w:rsidR="00707107">
        <w:t>qu</w:t>
      </w:r>
      <w:r w:rsidR="00466C08">
        <w:t>’à elle seule,</w:t>
      </w:r>
      <w:r w:rsidR="00707107">
        <w:t xml:space="preserve"> </w:t>
      </w:r>
      <w:r w:rsidR="00F841FA">
        <w:t>l</w:t>
      </w:r>
      <w:r w:rsidR="009A483A">
        <w:t>’élimination</w:t>
      </w:r>
      <w:r w:rsidR="00F841FA">
        <w:t xml:space="preserve"> précoce d’éléments de preuve essentiels susceptibles d’avoir </w:t>
      </w:r>
      <w:r w:rsidR="00707107">
        <w:t xml:space="preserve">compromis </w:t>
      </w:r>
      <w:r w:rsidR="009D101A">
        <w:t>un</w:t>
      </w:r>
      <w:r w:rsidR="00BC6BFB">
        <w:t>e</w:t>
      </w:r>
      <w:r w:rsidR="009D101A">
        <w:t xml:space="preserve"> </w:t>
      </w:r>
      <w:r w:rsidR="00466C08">
        <w:t>protection</w:t>
      </w:r>
      <w:r w:rsidR="009D101A">
        <w:t xml:space="preserve"> à l’égard </w:t>
      </w:r>
      <w:r w:rsidR="00F841FA">
        <w:t>d’un</w:t>
      </w:r>
      <w:r w:rsidR="00466C08">
        <w:t>e déclaration</w:t>
      </w:r>
      <w:r w:rsidR="00F841FA">
        <w:t xml:space="preserve"> de culpabilité </w:t>
      </w:r>
      <w:r w:rsidR="00707107">
        <w:t>constitue un</w:t>
      </w:r>
      <w:r w:rsidR="00F841FA">
        <w:t xml:space="preserve"> motif d’appel;</w:t>
      </w:r>
      <w:r w:rsidR="00BA52F8" w:rsidRPr="00236AB2">
        <w:t xml:space="preserve"> </w:t>
      </w:r>
      <w:r w:rsidR="00FD11EC">
        <w:t>et</w:t>
      </w:r>
      <w:r w:rsidR="00236AB2">
        <w:t xml:space="preserve"> </w:t>
      </w:r>
      <w:r w:rsidR="00BA52F8" w:rsidRPr="00236AB2">
        <w:t xml:space="preserve">d. </w:t>
      </w:r>
      <w:r w:rsidR="002B10E8">
        <w:t xml:space="preserve">élargir les mesures relatives à la divulgation après la déclaration de culpabilité pour aider les appelants à </w:t>
      </w:r>
      <w:r w:rsidR="00584751">
        <w:t xml:space="preserve">avoir accès aux éléments de preuve </w:t>
      </w:r>
      <w:r w:rsidR="00BC6BFB">
        <w:t>leur permettant d’</w:t>
      </w:r>
      <w:r w:rsidR="00584751">
        <w:t>effectuer des deman</w:t>
      </w:r>
      <w:r w:rsidR="00707107">
        <w:t>des d’autorisation d’interjet</w:t>
      </w:r>
      <w:r w:rsidR="002B10E8">
        <w:t>er</w:t>
      </w:r>
      <w:r w:rsidR="00707107">
        <w:t xml:space="preserve"> appel</w:t>
      </w:r>
      <w:r w:rsidR="00E3728F" w:rsidRPr="00236AB2">
        <w:t xml:space="preserve">. </w:t>
      </w:r>
    </w:p>
    <w:p w14:paraId="0327D79D" w14:textId="77777777" w:rsidR="00640993" w:rsidRPr="00236AB2" w:rsidRDefault="00640993" w:rsidP="00FF62CF">
      <w:pPr>
        <w:pStyle w:val="ListParagraph"/>
        <w:spacing w:line="240" w:lineRule="auto"/>
        <w:jc w:val="both"/>
      </w:pPr>
    </w:p>
    <w:p w14:paraId="2A8762C6" w14:textId="2839AF88" w:rsidR="00E3728F" w:rsidRPr="0056476E" w:rsidRDefault="00F45D2E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 w:rsidRPr="00F45D2E">
        <w:t>Concernant la question de l’</w:t>
      </w:r>
      <w:r w:rsidRPr="00F45D2E">
        <w:rPr>
          <w:u w:val="single"/>
        </w:rPr>
        <w:t>enquête</w:t>
      </w:r>
      <w:r w:rsidR="00E041B5" w:rsidRPr="00897DDB">
        <w:rPr>
          <w:rStyle w:val="FootnoteReference"/>
        </w:rPr>
        <w:footnoteReference w:id="22"/>
      </w:r>
      <w:r w:rsidRPr="00F45D2E">
        <w:t>, on souligne l’importance de</w:t>
      </w:r>
      <w:r w:rsidR="0056476E">
        <w:t xml:space="preserve"> réaliser de</w:t>
      </w:r>
      <w:r w:rsidRPr="00F45D2E">
        <w:t xml:space="preserve">s entrevues en </w:t>
      </w:r>
      <w:r>
        <w:t>personne avec les demandeurs</w:t>
      </w:r>
      <w:r w:rsidR="00AF7C57" w:rsidRPr="00897DDB">
        <w:rPr>
          <w:rStyle w:val="FootnoteReference"/>
        </w:rPr>
        <w:footnoteReference w:id="23"/>
      </w:r>
      <w:r w:rsidR="00E3728F" w:rsidRPr="00F45D2E">
        <w:t xml:space="preserve">. </w:t>
      </w:r>
      <w:r w:rsidRPr="0056476E">
        <w:t>Voici les recommandations à cet égard</w:t>
      </w:r>
      <w:r w:rsidR="00ED59F2" w:rsidRPr="00897DDB">
        <w:rPr>
          <w:rStyle w:val="FootnoteReference"/>
        </w:rPr>
        <w:footnoteReference w:id="24"/>
      </w:r>
      <w:r w:rsidRPr="0056476E">
        <w:t> </w:t>
      </w:r>
      <w:r w:rsidR="00E3728F" w:rsidRPr="0056476E">
        <w:t>:</w:t>
      </w:r>
    </w:p>
    <w:p w14:paraId="26E51D60" w14:textId="79F38D57" w:rsidR="00640993" w:rsidRPr="00F45D2E" w:rsidRDefault="00F45D2E" w:rsidP="00732B15">
      <w:pPr>
        <w:spacing w:after="0" w:line="240" w:lineRule="auto"/>
        <w:ind w:left="1440"/>
        <w:jc w:val="both"/>
        <w:rPr>
          <w:b/>
          <w:i/>
        </w:rPr>
      </w:pPr>
      <w:r w:rsidRPr="00F45D2E">
        <w:rPr>
          <w:bCs/>
          <w:iCs/>
        </w:rPr>
        <w:t>[</w:t>
      </w:r>
      <w:r w:rsidRPr="00F45D2E">
        <w:rPr>
          <w:bCs/>
          <w:iCs/>
          <w:sz w:val="18"/>
          <w:szCs w:val="18"/>
        </w:rPr>
        <w:t>TRADUCTION</w:t>
      </w:r>
      <w:r w:rsidRPr="00F45D2E">
        <w:rPr>
          <w:bCs/>
          <w:iCs/>
        </w:rPr>
        <w:t xml:space="preserve">] </w:t>
      </w:r>
      <w:r w:rsidRPr="00F45D2E">
        <w:rPr>
          <w:b/>
          <w:iCs/>
        </w:rPr>
        <w:t>« </w:t>
      </w:r>
      <w:r w:rsidR="00640993" w:rsidRPr="00F45D2E">
        <w:rPr>
          <w:b/>
          <w:i/>
        </w:rPr>
        <w:t xml:space="preserve">• </w:t>
      </w:r>
      <w:r w:rsidRPr="00F45D2E">
        <w:rPr>
          <w:b/>
          <w:i/>
        </w:rPr>
        <w:t xml:space="preserve">Le budget de la </w:t>
      </w:r>
      <w:r w:rsidR="00640993" w:rsidRPr="00F45D2E">
        <w:rPr>
          <w:b/>
          <w:i/>
        </w:rPr>
        <w:t>CCRC</w:t>
      </w:r>
      <w:r w:rsidRPr="00F45D2E">
        <w:rPr>
          <w:b/>
          <w:i/>
        </w:rPr>
        <w:t xml:space="preserve"> devrait être majoré de manièr</w:t>
      </w:r>
      <w:r>
        <w:rPr>
          <w:b/>
          <w:i/>
        </w:rPr>
        <w:t>e à ce qu’elle puisse</w:t>
      </w:r>
      <w:r w:rsidR="00640993" w:rsidRPr="00F45D2E">
        <w:rPr>
          <w:b/>
          <w:i/>
        </w:rPr>
        <w:t xml:space="preserve"> </w:t>
      </w:r>
    </w:p>
    <w:p w14:paraId="3EA4B561" w14:textId="5059089F" w:rsidR="00640993" w:rsidRPr="00F45D2E" w:rsidRDefault="00640993" w:rsidP="00732B15">
      <w:pPr>
        <w:spacing w:after="0" w:line="240" w:lineRule="auto"/>
        <w:ind w:left="2160"/>
        <w:jc w:val="both"/>
        <w:rPr>
          <w:b/>
          <w:i/>
        </w:rPr>
      </w:pPr>
      <w:r w:rsidRPr="00F45D2E">
        <w:rPr>
          <w:b/>
          <w:i/>
        </w:rPr>
        <w:t xml:space="preserve">o </w:t>
      </w:r>
      <w:r w:rsidR="00F45D2E" w:rsidRPr="00F45D2E">
        <w:rPr>
          <w:b/>
          <w:i/>
        </w:rPr>
        <w:t>tenir davantage d’entrevues en personne avec les de</w:t>
      </w:r>
      <w:r w:rsidR="00F45D2E">
        <w:rPr>
          <w:b/>
          <w:i/>
        </w:rPr>
        <w:t>mandeurs et d’autres intervenants pertinents</w:t>
      </w:r>
    </w:p>
    <w:p w14:paraId="4FCF2B58" w14:textId="31A9C13F" w:rsidR="00640993" w:rsidRPr="00DE1FFC" w:rsidRDefault="00640993" w:rsidP="003F54D6">
      <w:pPr>
        <w:spacing w:after="0" w:line="240" w:lineRule="auto"/>
        <w:ind w:left="2160"/>
        <w:jc w:val="both"/>
        <w:rPr>
          <w:b/>
          <w:i/>
        </w:rPr>
      </w:pPr>
      <w:r w:rsidRPr="00DE1FFC">
        <w:rPr>
          <w:b/>
          <w:i/>
        </w:rPr>
        <w:t xml:space="preserve">o </w:t>
      </w:r>
      <w:r w:rsidR="00DE1FFC" w:rsidRPr="00DE1FFC">
        <w:rPr>
          <w:b/>
          <w:i/>
        </w:rPr>
        <w:t xml:space="preserve">mener des enquêtes exhaustives à l’égard de toute pièce </w:t>
      </w:r>
      <w:r w:rsidR="00DE1FFC">
        <w:rPr>
          <w:b/>
          <w:i/>
        </w:rPr>
        <w:t>potentiellement pertinente</w:t>
      </w:r>
    </w:p>
    <w:p w14:paraId="59BEB864" w14:textId="08F994E6" w:rsidR="00640993" w:rsidRPr="00DA5B25" w:rsidRDefault="00640993" w:rsidP="00732B15">
      <w:pPr>
        <w:spacing w:after="0" w:line="240" w:lineRule="auto"/>
        <w:ind w:left="2160"/>
        <w:jc w:val="both"/>
        <w:rPr>
          <w:b/>
          <w:i/>
        </w:rPr>
      </w:pPr>
      <w:r w:rsidRPr="00DA5B25">
        <w:rPr>
          <w:b/>
          <w:i/>
        </w:rPr>
        <w:t xml:space="preserve">o </w:t>
      </w:r>
      <w:r w:rsidR="00C62127" w:rsidRPr="00DA5B25">
        <w:rPr>
          <w:b/>
          <w:i/>
        </w:rPr>
        <w:t xml:space="preserve">obtenir </w:t>
      </w:r>
      <w:r w:rsidR="00DA5B25" w:rsidRPr="00DA5B25">
        <w:rPr>
          <w:b/>
          <w:i/>
        </w:rPr>
        <w:t xml:space="preserve">et passer en revue l’ensemble </w:t>
      </w:r>
      <w:r w:rsidR="00C62127" w:rsidRPr="00DA5B25">
        <w:rPr>
          <w:b/>
          <w:i/>
        </w:rPr>
        <w:t xml:space="preserve">des </w:t>
      </w:r>
      <w:r w:rsidR="00DA5B25" w:rsidRPr="00DA5B25">
        <w:rPr>
          <w:b/>
          <w:i/>
        </w:rPr>
        <w:t xml:space="preserve">transcriptions de procès en </w:t>
      </w:r>
      <w:r w:rsidR="00DA5B25">
        <w:rPr>
          <w:b/>
          <w:i/>
        </w:rPr>
        <w:t>lien, le cas échéant, avec les points en litige dans l’affaire</w:t>
      </w:r>
      <w:r w:rsidRPr="00DA5B25">
        <w:rPr>
          <w:b/>
          <w:i/>
        </w:rPr>
        <w:t xml:space="preserve"> </w:t>
      </w:r>
    </w:p>
    <w:p w14:paraId="04B4C3FA" w14:textId="1259AC20" w:rsidR="00640993" w:rsidRPr="009762C7" w:rsidRDefault="00640993" w:rsidP="00732B15">
      <w:pPr>
        <w:spacing w:after="0" w:line="240" w:lineRule="auto"/>
        <w:ind w:left="1440"/>
        <w:jc w:val="both"/>
        <w:rPr>
          <w:b/>
          <w:i/>
        </w:rPr>
      </w:pPr>
      <w:r w:rsidRPr="00CB5605">
        <w:rPr>
          <w:b/>
          <w:i/>
        </w:rPr>
        <w:t xml:space="preserve">• </w:t>
      </w:r>
      <w:r w:rsidR="00F45D2E" w:rsidRPr="00CB5605">
        <w:rPr>
          <w:b/>
          <w:i/>
        </w:rPr>
        <w:t xml:space="preserve">La CCRC doit revoir ses indicateurs de rendement clés, de sorte qu’ils </w:t>
      </w:r>
      <w:r w:rsidR="00D87D4D" w:rsidRPr="00CB5605">
        <w:rPr>
          <w:b/>
          <w:i/>
        </w:rPr>
        <w:t xml:space="preserve">soient plus spécifiques et ne portent pas uniquement ou principalement sur </w:t>
      </w:r>
      <w:r w:rsidR="00CB5605" w:rsidRPr="00CB5605">
        <w:rPr>
          <w:b/>
          <w:i/>
        </w:rPr>
        <w:t>les dé</w:t>
      </w:r>
      <w:r w:rsidR="00CB5605">
        <w:rPr>
          <w:b/>
          <w:i/>
        </w:rPr>
        <w:t xml:space="preserve">lais. </w:t>
      </w:r>
      <w:r w:rsidR="00CB5605" w:rsidRPr="00EC4EEF">
        <w:rPr>
          <w:b/>
          <w:i/>
        </w:rPr>
        <w:t xml:space="preserve">Chaque affaire devrait être assortie </w:t>
      </w:r>
      <w:r w:rsidR="00EC4EEF" w:rsidRPr="00EC4EEF">
        <w:rPr>
          <w:b/>
          <w:i/>
        </w:rPr>
        <w:t xml:space="preserve">d’un plan individualisé </w:t>
      </w:r>
      <w:r w:rsidR="00EC4EEF">
        <w:rPr>
          <w:b/>
          <w:i/>
        </w:rPr>
        <w:t xml:space="preserve">comportant des activités et des dates cibles. </w:t>
      </w:r>
    </w:p>
    <w:p w14:paraId="25CEF3A9" w14:textId="12510686" w:rsidR="00640993" w:rsidRPr="001E38B8" w:rsidRDefault="00640993" w:rsidP="00732B15">
      <w:pPr>
        <w:spacing w:after="0" w:line="240" w:lineRule="auto"/>
        <w:ind w:left="1440"/>
        <w:jc w:val="both"/>
        <w:rPr>
          <w:b/>
          <w:i/>
        </w:rPr>
      </w:pPr>
      <w:r w:rsidRPr="001E38B8">
        <w:rPr>
          <w:b/>
          <w:i/>
        </w:rPr>
        <w:t xml:space="preserve">• </w:t>
      </w:r>
      <w:r w:rsidR="00EC4EEF" w:rsidRPr="001E38B8">
        <w:rPr>
          <w:b/>
          <w:i/>
        </w:rPr>
        <w:t>La CCRC doit mettre sur pied un conseil consultatif composé d</w:t>
      </w:r>
      <w:r w:rsidR="001E38B8" w:rsidRPr="001E38B8">
        <w:rPr>
          <w:b/>
          <w:i/>
        </w:rPr>
        <w:t>e spécialistes judiciaires e</w:t>
      </w:r>
      <w:r w:rsidR="001E38B8">
        <w:rPr>
          <w:b/>
          <w:i/>
        </w:rPr>
        <w:t xml:space="preserve">xternes </w:t>
      </w:r>
      <w:r w:rsidR="00913EAB">
        <w:rPr>
          <w:b/>
          <w:i/>
        </w:rPr>
        <w:t>chargés de tenir des consultations sur des questions d’ordre scientifique et technique et sur l’élaboration de stratégies en matière judiciaire</w:t>
      </w:r>
      <w:r w:rsidRPr="001E38B8">
        <w:rPr>
          <w:b/>
          <w:i/>
        </w:rPr>
        <w:t xml:space="preserve">. </w:t>
      </w:r>
    </w:p>
    <w:p w14:paraId="0F6669D2" w14:textId="5A55849A" w:rsidR="00640993" w:rsidRPr="00913EAB" w:rsidRDefault="00640993" w:rsidP="00732B15">
      <w:pPr>
        <w:spacing w:after="0" w:line="240" w:lineRule="auto"/>
        <w:ind w:left="1440"/>
        <w:jc w:val="both"/>
        <w:rPr>
          <w:b/>
          <w:i/>
        </w:rPr>
      </w:pPr>
      <w:r w:rsidRPr="00913EAB">
        <w:rPr>
          <w:b/>
          <w:i/>
        </w:rPr>
        <w:t xml:space="preserve">• </w:t>
      </w:r>
      <w:r w:rsidR="00913EAB" w:rsidRPr="00913EAB">
        <w:rPr>
          <w:b/>
          <w:i/>
        </w:rPr>
        <w:t>Lorsqu’elle fait enquête sur des allégations contre des policiers ou d’autres agents d’application de la loi</w:t>
      </w:r>
      <w:r w:rsidRPr="00913EAB">
        <w:rPr>
          <w:b/>
          <w:i/>
        </w:rPr>
        <w:t xml:space="preserve">, </w:t>
      </w:r>
      <w:r w:rsidR="00913EAB" w:rsidRPr="00913EAB">
        <w:rPr>
          <w:b/>
          <w:i/>
        </w:rPr>
        <w:t>la</w:t>
      </w:r>
      <w:r w:rsidRPr="00913EAB">
        <w:rPr>
          <w:b/>
          <w:i/>
        </w:rPr>
        <w:t xml:space="preserve"> CCRC </w:t>
      </w:r>
      <w:r w:rsidR="00913EAB" w:rsidRPr="00913EAB">
        <w:rPr>
          <w:b/>
          <w:i/>
        </w:rPr>
        <w:t>d</w:t>
      </w:r>
      <w:r w:rsidR="003F54D6">
        <w:rPr>
          <w:b/>
          <w:i/>
        </w:rPr>
        <w:t>evra</w:t>
      </w:r>
      <w:r w:rsidR="00913EAB">
        <w:rPr>
          <w:b/>
          <w:i/>
        </w:rPr>
        <w:t xml:space="preserve">it toujours interroger les agents séparément et, au besoin, obtenir des </w:t>
      </w:r>
      <w:r w:rsidR="002A2286">
        <w:rPr>
          <w:b/>
          <w:i/>
        </w:rPr>
        <w:t xml:space="preserve">informations de </w:t>
      </w:r>
      <w:r w:rsidR="002A71AB">
        <w:rPr>
          <w:b/>
          <w:i/>
        </w:rPr>
        <w:t xml:space="preserve">première </w:t>
      </w:r>
      <w:r w:rsidR="002A2286">
        <w:rPr>
          <w:b/>
          <w:i/>
        </w:rPr>
        <w:t xml:space="preserve">source </w:t>
      </w:r>
      <w:r w:rsidR="002A71AB">
        <w:rPr>
          <w:b/>
          <w:i/>
        </w:rPr>
        <w:t>pour valider les témoignages</w:t>
      </w:r>
      <w:r w:rsidRPr="00913EAB">
        <w:rPr>
          <w:b/>
          <w:i/>
        </w:rPr>
        <w:t xml:space="preserve"> </w:t>
      </w:r>
      <w:r w:rsidR="002A71AB">
        <w:rPr>
          <w:b/>
          <w:i/>
        </w:rPr>
        <w:t>par le truchement d’agents supérieurs non liés à l’enquête initiale</w:t>
      </w:r>
      <w:r w:rsidRPr="00913EAB">
        <w:rPr>
          <w:b/>
          <w:i/>
        </w:rPr>
        <w:t>.</w:t>
      </w:r>
      <w:r w:rsidR="002A71AB">
        <w:rPr>
          <w:b/>
          <w:i/>
        </w:rPr>
        <w:t> »</w:t>
      </w:r>
    </w:p>
    <w:p w14:paraId="66F66571" w14:textId="77777777" w:rsidR="00640993" w:rsidRPr="00913EAB" w:rsidRDefault="00640993" w:rsidP="00AF7C57">
      <w:pPr>
        <w:spacing w:line="240" w:lineRule="auto"/>
      </w:pPr>
    </w:p>
    <w:p w14:paraId="159E9D2F" w14:textId="26C8A559" w:rsidR="00640993" w:rsidRPr="00E8022B" w:rsidRDefault="00F45D2E" w:rsidP="00FF62CF">
      <w:pPr>
        <w:pStyle w:val="ListParagraph"/>
        <w:numPr>
          <w:ilvl w:val="0"/>
          <w:numId w:val="1"/>
        </w:numPr>
        <w:spacing w:line="240" w:lineRule="auto"/>
        <w:jc w:val="both"/>
      </w:pPr>
      <w:r w:rsidRPr="00F45D2E">
        <w:lastRenderedPageBreak/>
        <w:t>À l’égard des</w:t>
      </w:r>
      <w:r w:rsidR="00ED59F2" w:rsidRPr="00F45D2E">
        <w:t xml:space="preserve"> </w:t>
      </w:r>
      <w:r w:rsidRPr="00F45D2E">
        <w:rPr>
          <w:u w:val="single"/>
        </w:rPr>
        <w:t>enquêtes et de la non-divulgation</w:t>
      </w:r>
      <w:r w:rsidR="00ED59F2" w:rsidRPr="00897DDB">
        <w:rPr>
          <w:rStyle w:val="FootnoteReference"/>
        </w:rPr>
        <w:footnoteReference w:id="25"/>
      </w:r>
      <w:r w:rsidRPr="00F45D2E">
        <w:t>, on remarque que le rendement du personnel peut avoir une incidence s</w:t>
      </w:r>
      <w:r>
        <w:t>ur la qualité et le succès d’une enquête</w:t>
      </w:r>
      <w:r w:rsidR="00E041B5" w:rsidRPr="00897DDB">
        <w:rPr>
          <w:rStyle w:val="FootnoteReference"/>
        </w:rPr>
        <w:footnoteReference w:id="26"/>
      </w:r>
      <w:r w:rsidR="00640993" w:rsidRPr="00F45D2E">
        <w:t xml:space="preserve">. </w:t>
      </w:r>
      <w:r w:rsidR="00E8022B" w:rsidRPr="00E8022B">
        <w:t xml:space="preserve">On met l’accent sur l’importance cruciale de </w:t>
      </w:r>
      <w:r w:rsidR="00E8022B">
        <w:t>conserver les éléments de preuve après la déclaration de culpabilité</w:t>
      </w:r>
      <w:r w:rsidR="000536B2" w:rsidRPr="00897DDB">
        <w:rPr>
          <w:rStyle w:val="FootnoteReference"/>
        </w:rPr>
        <w:footnoteReference w:id="27"/>
      </w:r>
      <w:r w:rsidR="00640993" w:rsidRPr="00E8022B">
        <w:t xml:space="preserve">. </w:t>
      </w:r>
      <w:r w:rsidR="00E8022B" w:rsidRPr="00E8022B">
        <w:t xml:space="preserve">On formule des recommandations clés </w:t>
      </w:r>
      <w:r w:rsidR="00E8022B">
        <w:t>à l’égard de la conservation et de la divulgation</w:t>
      </w:r>
      <w:r w:rsidR="000536B2" w:rsidRPr="00897DDB">
        <w:rPr>
          <w:rStyle w:val="FootnoteReference"/>
        </w:rPr>
        <w:footnoteReference w:id="28"/>
      </w:r>
      <w:r w:rsidR="000536B2" w:rsidRPr="00E8022B">
        <w:t xml:space="preserve"> </w:t>
      </w:r>
      <w:r w:rsidR="00E8022B" w:rsidRPr="00E8022B">
        <w:t>et on propose d’a</w:t>
      </w:r>
      <w:r w:rsidR="00656B0A">
        <w:t>ccroître</w:t>
      </w:r>
      <w:r w:rsidR="00E8022B" w:rsidRPr="00E8022B">
        <w:t xml:space="preserve"> les pouvoirs de</w:t>
      </w:r>
      <w:r w:rsidR="00E8022B">
        <w:t xml:space="preserve"> la CCRC</w:t>
      </w:r>
      <w:r w:rsidR="00AF7C57" w:rsidRPr="00897DDB">
        <w:rPr>
          <w:rStyle w:val="FootnoteReference"/>
        </w:rPr>
        <w:footnoteReference w:id="29"/>
      </w:r>
      <w:r w:rsidR="00640993" w:rsidRPr="00E8022B">
        <w:t>.</w:t>
      </w:r>
    </w:p>
    <w:p w14:paraId="0100D497" w14:textId="77777777" w:rsidR="001A32A7" w:rsidRPr="00E8022B" w:rsidRDefault="001A32A7" w:rsidP="00FF62CF">
      <w:pPr>
        <w:pStyle w:val="ListParagraph"/>
        <w:spacing w:line="240" w:lineRule="auto"/>
        <w:jc w:val="both"/>
      </w:pPr>
    </w:p>
    <w:p w14:paraId="17E86765" w14:textId="541E093D" w:rsidR="00FF62CF" w:rsidRPr="00897DDB" w:rsidRDefault="00A90EAB" w:rsidP="004359F9">
      <w:pPr>
        <w:pStyle w:val="ListParagraph"/>
        <w:numPr>
          <w:ilvl w:val="0"/>
          <w:numId w:val="1"/>
        </w:numPr>
        <w:spacing w:line="240" w:lineRule="auto"/>
        <w:jc w:val="both"/>
      </w:pPr>
      <w:r w:rsidRPr="00E8022B">
        <w:t>Concernant les questions de</w:t>
      </w:r>
      <w:r w:rsidR="001A32A7" w:rsidRPr="00E8022B">
        <w:t xml:space="preserve"> </w:t>
      </w:r>
      <w:r w:rsidRPr="00E8022B">
        <w:rPr>
          <w:u w:val="single"/>
        </w:rPr>
        <w:t>responsabilité et de transparence</w:t>
      </w:r>
      <w:r w:rsidR="000536B2" w:rsidRPr="00897DDB">
        <w:rPr>
          <w:rStyle w:val="FootnoteReference"/>
        </w:rPr>
        <w:footnoteReference w:id="30"/>
      </w:r>
      <w:r w:rsidR="001A32A7" w:rsidRPr="00E8022B">
        <w:t xml:space="preserve">, </w:t>
      </w:r>
      <w:r w:rsidR="004A261D">
        <w:t>on</w:t>
      </w:r>
      <w:r w:rsidRPr="00E8022B">
        <w:t xml:space="preserve"> se</w:t>
      </w:r>
      <w:r w:rsidR="00E8022B" w:rsidRPr="00E8022B">
        <w:t xml:space="preserve"> penche sur l</w:t>
      </w:r>
      <w:r w:rsidR="004A261D">
        <w:t>a</w:t>
      </w:r>
      <w:r w:rsidR="00E8022B" w:rsidRPr="00E8022B">
        <w:t xml:space="preserve"> faible communication en</w:t>
      </w:r>
      <w:r w:rsidR="00E8022B">
        <w:t>tre les demandeurs et la commission</w:t>
      </w:r>
      <w:r w:rsidR="004A261D">
        <w:t>,</w:t>
      </w:r>
      <w:r w:rsidR="00E8022B">
        <w:t xml:space="preserve"> et sur la manière dont cela nuit à la confiance. </w:t>
      </w:r>
      <w:r w:rsidR="004A261D" w:rsidRPr="000D6D0B">
        <w:t xml:space="preserve">Il existe un formulaire convivial pour aider les détenus </w:t>
      </w:r>
      <w:r w:rsidR="009923DA" w:rsidRPr="000D6D0B">
        <w:t xml:space="preserve">à présenter une demande, mais les témoignages recueillis par le GPM </w:t>
      </w:r>
      <w:r w:rsidR="000D6D0B" w:rsidRPr="000D6D0B">
        <w:t>montrent</w:t>
      </w:r>
      <w:r w:rsidR="000D6D0B">
        <w:t xml:space="preserve"> qu</w:t>
      </w:r>
      <w:r w:rsidR="00BC6BFB">
        <w:t>’en raison de la mauvaise communication,</w:t>
      </w:r>
      <w:r w:rsidR="000D6D0B">
        <w:t xml:space="preserve"> les </w:t>
      </w:r>
      <w:r w:rsidR="00BC6BFB">
        <w:t>demandeurs</w:t>
      </w:r>
      <w:r w:rsidR="000D6D0B">
        <w:t xml:space="preserve"> potentiels et actuels éprouvent des difficultés </w:t>
      </w:r>
      <w:r w:rsidR="00BC6BFB">
        <w:t xml:space="preserve">tout au long du processus </w:t>
      </w:r>
      <w:r w:rsidR="00F875A4">
        <w:t>–</w:t>
      </w:r>
      <w:r w:rsidR="00FF62CF" w:rsidRPr="000D6D0B">
        <w:t xml:space="preserve"> </w:t>
      </w:r>
      <w:r w:rsidR="00F875A4">
        <w:t xml:space="preserve">y compris </w:t>
      </w:r>
      <w:r w:rsidR="00BC6BFB">
        <w:t>sur le plan</w:t>
      </w:r>
      <w:r w:rsidR="00F875A4">
        <w:t xml:space="preserve"> d</w:t>
      </w:r>
      <w:r w:rsidR="00682499">
        <w:t>u suivi</w:t>
      </w:r>
      <w:r w:rsidR="00F875A4">
        <w:t xml:space="preserve"> d’une affaire et de </w:t>
      </w:r>
      <w:r w:rsidR="00BC6BFB">
        <w:t>s</w:t>
      </w:r>
      <w:r w:rsidR="00F875A4">
        <w:t>a décision</w:t>
      </w:r>
      <w:r w:rsidR="000536B2" w:rsidRPr="00897DDB">
        <w:rPr>
          <w:rStyle w:val="FootnoteReference"/>
        </w:rPr>
        <w:footnoteReference w:id="31"/>
      </w:r>
      <w:r w:rsidR="001A32A7" w:rsidRPr="000D6D0B">
        <w:t xml:space="preserve">. </w:t>
      </w:r>
      <w:r w:rsidR="00F875A4" w:rsidRPr="00F875A4">
        <w:t xml:space="preserve">Ces défis étaient exacerbés </w:t>
      </w:r>
      <w:r w:rsidR="00DC4EA1">
        <w:t>lorsque la langue ou l’a</w:t>
      </w:r>
      <w:r w:rsidR="00480474">
        <w:t>nalphabéti</w:t>
      </w:r>
      <w:r w:rsidR="00F831B2">
        <w:t>sme</w:t>
      </w:r>
      <w:r w:rsidR="00DC4EA1">
        <w:t xml:space="preserve"> étaient en jeu</w:t>
      </w:r>
      <w:r w:rsidR="00FF62CF" w:rsidRPr="00F875A4">
        <w:t xml:space="preserve">. </w:t>
      </w:r>
      <w:r w:rsidR="00E8022B" w:rsidRPr="00E8022B">
        <w:t>En résumé, les recommandations comprennent le</w:t>
      </w:r>
      <w:r w:rsidR="00E8022B">
        <w:t>s suivantes</w:t>
      </w:r>
      <w:r w:rsidR="000536B2" w:rsidRPr="00897DDB">
        <w:rPr>
          <w:rStyle w:val="FootnoteReference"/>
        </w:rPr>
        <w:footnoteReference w:id="32"/>
      </w:r>
      <w:r w:rsidR="00E8022B">
        <w:t> </w:t>
      </w:r>
      <w:r w:rsidR="000536B2" w:rsidRPr="00897DDB">
        <w:t>:</w:t>
      </w:r>
    </w:p>
    <w:p w14:paraId="49D34C8F" w14:textId="475E919E" w:rsidR="00FF62CF" w:rsidRPr="002940CE" w:rsidRDefault="002D7EBF" w:rsidP="00FF62CF">
      <w:pPr>
        <w:pStyle w:val="ListParagraph"/>
        <w:numPr>
          <w:ilvl w:val="0"/>
          <w:numId w:val="2"/>
        </w:numPr>
        <w:spacing w:line="240" w:lineRule="auto"/>
      </w:pPr>
      <w:r w:rsidRPr="002940CE">
        <w:t>la</w:t>
      </w:r>
      <w:r w:rsidR="00FF62CF" w:rsidRPr="002940CE">
        <w:t xml:space="preserve"> CCRC </w:t>
      </w:r>
      <w:r w:rsidRPr="002940CE">
        <w:t xml:space="preserve">doit divulguer les </w:t>
      </w:r>
      <w:r w:rsidR="00F831B2" w:rsidRPr="002940CE">
        <w:t xml:space="preserve">mesures à prendre et le </w:t>
      </w:r>
      <w:r w:rsidR="002940CE" w:rsidRPr="002940CE">
        <w:t xml:space="preserve">plan </w:t>
      </w:r>
      <w:r w:rsidR="00B14A4A">
        <w:t>d’enquête</w:t>
      </w:r>
      <w:r w:rsidR="002940CE" w:rsidRPr="002940CE">
        <w:t xml:space="preserve"> aux demandeurs ou à leur avocat, et permet</w:t>
      </w:r>
      <w:r w:rsidR="002940CE">
        <w:t>tre à ces derniers de formuler des observations à l’égard de ces décisions ou mesures ou de l’absence de celles-ci, de les contester ou d’y contribuer</w:t>
      </w:r>
      <w:r w:rsidR="000536B2" w:rsidRPr="002940CE">
        <w:t>;</w:t>
      </w:r>
    </w:p>
    <w:p w14:paraId="4A2CD823" w14:textId="59BAC484" w:rsidR="00FF62CF" w:rsidRPr="004A261D" w:rsidRDefault="002D7EBF" w:rsidP="00FF62CF">
      <w:pPr>
        <w:pStyle w:val="ListParagraph"/>
        <w:numPr>
          <w:ilvl w:val="0"/>
          <w:numId w:val="2"/>
        </w:numPr>
        <w:spacing w:line="240" w:lineRule="auto"/>
      </w:pPr>
      <w:r w:rsidRPr="002D7EBF">
        <w:t>l</w:t>
      </w:r>
      <w:r w:rsidR="004A261D" w:rsidRPr="004A261D">
        <w:t xml:space="preserve">es énoncés des motifs doivent être rédigés de manière la plus </w:t>
      </w:r>
      <w:r w:rsidR="00B14A4A">
        <w:t>aisément compréhensible</w:t>
      </w:r>
      <w:r w:rsidR="000536B2" w:rsidRPr="004A261D">
        <w:t>;</w:t>
      </w:r>
    </w:p>
    <w:p w14:paraId="356C9221" w14:textId="5C2E1949" w:rsidR="00FF62CF" w:rsidRPr="00480474" w:rsidRDefault="002D7EBF" w:rsidP="00FF62CF">
      <w:pPr>
        <w:pStyle w:val="ListParagraph"/>
        <w:numPr>
          <w:ilvl w:val="0"/>
          <w:numId w:val="2"/>
        </w:numPr>
        <w:spacing w:line="240" w:lineRule="auto"/>
      </w:pPr>
      <w:r w:rsidRPr="00480474">
        <w:t>l</w:t>
      </w:r>
      <w:r w:rsidR="000D6D0B" w:rsidRPr="00480474">
        <w:t xml:space="preserve">a </w:t>
      </w:r>
      <w:r w:rsidR="00FF62CF" w:rsidRPr="00480474">
        <w:t xml:space="preserve">CCRC </w:t>
      </w:r>
      <w:r w:rsidR="000D6D0B" w:rsidRPr="00480474">
        <w:t xml:space="preserve">doit nommer un groupe restreint d’avocats chevronnés </w:t>
      </w:r>
      <w:r w:rsidR="00B14A4A">
        <w:t>disponibles pour</w:t>
      </w:r>
      <w:r w:rsidRPr="00480474">
        <w:t xml:space="preserve"> fournir des conseils et de l’orientation, </w:t>
      </w:r>
      <w:r w:rsidR="00480474" w:rsidRPr="00480474">
        <w:t>surtout en ca</w:t>
      </w:r>
      <w:r w:rsidR="00480474">
        <w:t>s de décisions litigieuses et d’affaires faisant intervenir des questions complexes</w:t>
      </w:r>
      <w:r w:rsidR="000536B2" w:rsidRPr="00480474">
        <w:t>;</w:t>
      </w:r>
    </w:p>
    <w:p w14:paraId="212EC68B" w14:textId="422A9537" w:rsidR="00FF62CF" w:rsidRPr="002940CE" w:rsidRDefault="00480474" w:rsidP="00FF62CF">
      <w:pPr>
        <w:pStyle w:val="ListParagraph"/>
        <w:numPr>
          <w:ilvl w:val="0"/>
          <w:numId w:val="2"/>
        </w:numPr>
        <w:spacing w:line="240" w:lineRule="auto"/>
      </w:pPr>
      <w:r w:rsidRPr="002940CE">
        <w:t>la</w:t>
      </w:r>
      <w:r w:rsidR="00FF62CF" w:rsidRPr="002940CE">
        <w:t xml:space="preserve"> </w:t>
      </w:r>
      <w:r w:rsidR="00FF62CF" w:rsidRPr="002940CE">
        <w:rPr>
          <w:i/>
          <w:iCs/>
        </w:rPr>
        <w:t>Criminal Appeal Act 1995</w:t>
      </w:r>
      <w:r w:rsidR="00FF62CF" w:rsidRPr="002940CE">
        <w:t xml:space="preserve"> </w:t>
      </w:r>
      <w:r w:rsidRPr="002940CE">
        <w:t xml:space="preserve">doit être modifiée de </w:t>
      </w:r>
      <w:r w:rsidR="002940CE">
        <w:t>sorte que</w:t>
      </w:r>
      <w:r w:rsidRPr="002940CE">
        <w:t xml:space="preserve"> la CCRC </w:t>
      </w:r>
      <w:r w:rsidR="002940CE">
        <w:t>puisse</w:t>
      </w:r>
      <w:r w:rsidRPr="002940CE">
        <w:t xml:space="preserve"> divulguer aux demandeurs des copies de la documentation rec</w:t>
      </w:r>
      <w:r w:rsidR="00411709" w:rsidRPr="002940CE">
        <w:t>u</w:t>
      </w:r>
      <w:r w:rsidRPr="002940CE">
        <w:t xml:space="preserve">eillie dans le cadre de son examen et publier ses énoncés des motifs ou une partie de ceux-ci lorsqu’elle </w:t>
      </w:r>
      <w:r w:rsidR="00153F46">
        <w:t xml:space="preserve">le </w:t>
      </w:r>
      <w:r w:rsidRPr="002940CE">
        <w:t xml:space="preserve">juge </w:t>
      </w:r>
      <w:r w:rsidR="00153F46">
        <w:t>nécessaire dans l’intérêt du public</w:t>
      </w:r>
      <w:r w:rsidR="00FF62CF" w:rsidRPr="002940CE">
        <w:t>, s</w:t>
      </w:r>
      <w:r w:rsidR="00CF629C">
        <w:t>ous réserve de l’approbation des demandeurs</w:t>
      </w:r>
      <w:r w:rsidR="000536B2" w:rsidRPr="002940CE">
        <w:t>;</w:t>
      </w:r>
    </w:p>
    <w:p w14:paraId="1A839213" w14:textId="2BBDBA9A" w:rsidR="00FF62CF" w:rsidRPr="002D7EBF" w:rsidRDefault="002D7EBF" w:rsidP="00FF62CF">
      <w:pPr>
        <w:pStyle w:val="ListParagraph"/>
        <w:numPr>
          <w:ilvl w:val="0"/>
          <w:numId w:val="2"/>
        </w:numPr>
        <w:spacing w:line="240" w:lineRule="auto"/>
      </w:pPr>
      <w:r w:rsidRPr="002D7EBF">
        <w:t>la</w:t>
      </w:r>
      <w:r w:rsidR="00FF62CF" w:rsidRPr="002D7EBF">
        <w:t xml:space="preserve"> CCRC </w:t>
      </w:r>
      <w:r w:rsidRPr="002D7EBF">
        <w:t>doit mettre en place un élément ex</w:t>
      </w:r>
      <w:r>
        <w:t xml:space="preserve">terne </w:t>
      </w:r>
      <w:r w:rsidR="002940CE">
        <w:t>dans son processus de plainte</w:t>
      </w:r>
      <w:r w:rsidR="000536B2" w:rsidRPr="002D7EBF">
        <w:t>.</w:t>
      </w:r>
      <w:r w:rsidR="00FF62CF" w:rsidRPr="002D7EBF">
        <w:t xml:space="preserve"> </w:t>
      </w:r>
    </w:p>
    <w:p w14:paraId="448792A2" w14:textId="77777777" w:rsidR="00FF62CF" w:rsidRPr="002D7EBF" w:rsidRDefault="00FF62CF" w:rsidP="00FF62CF">
      <w:pPr>
        <w:pStyle w:val="ListParagraph"/>
        <w:spacing w:line="240" w:lineRule="auto"/>
        <w:ind w:left="1080"/>
      </w:pPr>
    </w:p>
    <w:p w14:paraId="20111F61" w14:textId="56FF8504" w:rsidR="00732B15" w:rsidRPr="00897DDB" w:rsidRDefault="00A16FA5" w:rsidP="00732B1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S’agissant de la </w:t>
      </w:r>
      <w:r w:rsidRPr="00A16FA5">
        <w:rPr>
          <w:u w:val="single"/>
        </w:rPr>
        <w:t xml:space="preserve">justice pour </w:t>
      </w:r>
      <w:r w:rsidR="00E9265C">
        <w:rPr>
          <w:u w:val="single"/>
        </w:rPr>
        <w:t>adolescents</w:t>
      </w:r>
      <w:r>
        <w:rPr>
          <w:u w:val="single"/>
        </w:rPr>
        <w:t xml:space="preserve"> et </w:t>
      </w:r>
      <w:r w:rsidR="007F0BA9">
        <w:rPr>
          <w:u w:val="single"/>
        </w:rPr>
        <w:t xml:space="preserve">de </w:t>
      </w:r>
      <w:r>
        <w:rPr>
          <w:u w:val="single"/>
        </w:rPr>
        <w:t>l</w:t>
      </w:r>
      <w:r w:rsidR="001675C5">
        <w:rPr>
          <w:u w:val="single"/>
        </w:rPr>
        <w:t>’entreprise commune</w:t>
      </w:r>
      <w:r w:rsidR="00ED59F2" w:rsidRPr="00A90EAB">
        <w:rPr>
          <w:rStyle w:val="FootnoteReference"/>
        </w:rPr>
        <w:footnoteReference w:id="33"/>
      </w:r>
      <w:r w:rsidR="00A90EAB" w:rsidRPr="00A16FA5">
        <w:t xml:space="preserve">, on souligne dans le rapport </w:t>
      </w:r>
      <w:r w:rsidR="00CF629C" w:rsidRPr="00A16FA5">
        <w:t>la nécessité d</w:t>
      </w:r>
      <w:r>
        <w:t xml:space="preserve">e compter </w:t>
      </w:r>
      <w:r w:rsidR="009B6CA3">
        <w:t xml:space="preserve">sur </w:t>
      </w:r>
      <w:r>
        <w:t xml:space="preserve">un spécialiste </w:t>
      </w:r>
      <w:r w:rsidR="004425D0">
        <w:t>de la</w:t>
      </w:r>
      <w:r>
        <w:t xml:space="preserve"> justice pour </w:t>
      </w:r>
      <w:r w:rsidR="007F0BA9">
        <w:t xml:space="preserve">adolescents à la </w:t>
      </w:r>
      <w:r w:rsidR="00732B15" w:rsidRPr="00A16FA5">
        <w:t>CCRC</w:t>
      </w:r>
      <w:r w:rsidR="00F559B2">
        <w:t>,</w:t>
      </w:r>
      <w:r w:rsidR="00732B15" w:rsidRPr="00A16FA5">
        <w:t xml:space="preserve"> </w:t>
      </w:r>
      <w:r w:rsidR="009B6CA3">
        <w:t xml:space="preserve">ainsi que </w:t>
      </w:r>
      <w:r w:rsidR="009C7AEA">
        <w:t xml:space="preserve">sur </w:t>
      </w:r>
      <w:r w:rsidR="004F68CB">
        <w:t xml:space="preserve">des politiques </w:t>
      </w:r>
      <w:r w:rsidR="00BA4968">
        <w:t>en la matière</w:t>
      </w:r>
      <w:r w:rsidR="00732B15" w:rsidRPr="00A16FA5">
        <w:t xml:space="preserve">. </w:t>
      </w:r>
      <w:r w:rsidR="00BA4968" w:rsidRPr="00F559B2">
        <w:t>L</w:t>
      </w:r>
      <w:r w:rsidR="00B14A4A">
        <w:t>a</w:t>
      </w:r>
      <w:r w:rsidR="00732B15" w:rsidRPr="00F559B2">
        <w:t xml:space="preserve"> CCRC </w:t>
      </w:r>
      <w:r w:rsidR="00F559B2" w:rsidRPr="00F559B2">
        <w:t xml:space="preserve">a le pouvoir de renvoyer une affaire </w:t>
      </w:r>
      <w:r w:rsidR="004425D0">
        <w:t xml:space="preserve">instruite </w:t>
      </w:r>
      <w:r w:rsidR="00F559B2" w:rsidRPr="00F559B2">
        <w:t xml:space="preserve">devant un tribunal de </w:t>
      </w:r>
      <w:r w:rsidR="00F559B2">
        <w:t xml:space="preserve">la jeunesse à </w:t>
      </w:r>
      <w:r w:rsidR="00392708">
        <w:t xml:space="preserve">la </w:t>
      </w:r>
      <w:r w:rsidR="00732B15" w:rsidRPr="00F559B2">
        <w:t xml:space="preserve">Crown </w:t>
      </w:r>
      <w:r w:rsidR="005376D1">
        <w:t xml:space="preserve">Court </w:t>
      </w:r>
      <w:r w:rsidR="00E70717">
        <w:t>pour un nouveau procès</w:t>
      </w:r>
      <w:r w:rsidR="00732B15" w:rsidRPr="00F559B2">
        <w:t xml:space="preserve">. </w:t>
      </w:r>
      <w:r w:rsidR="005376D1" w:rsidRPr="005376D1">
        <w:t xml:space="preserve">On note que la durée des révisions de la </w:t>
      </w:r>
      <w:r w:rsidR="00732B15" w:rsidRPr="005376D1">
        <w:t xml:space="preserve">CCRC </w:t>
      </w:r>
      <w:r w:rsidR="005376D1" w:rsidRPr="005376D1">
        <w:t xml:space="preserve">doit absolument être </w:t>
      </w:r>
      <w:r w:rsidR="005376D1">
        <w:t xml:space="preserve">réduite au minimum dans les affaires touchant les adolescents en raison des effets préjudiciables d’une déclaration de culpabilité </w:t>
      </w:r>
      <w:r w:rsidR="00E83721">
        <w:t>sur les moins de 18 ans</w:t>
      </w:r>
      <w:r w:rsidR="00ED59F2" w:rsidRPr="00897DDB">
        <w:rPr>
          <w:rStyle w:val="FootnoteReference"/>
        </w:rPr>
        <w:footnoteReference w:id="34"/>
      </w:r>
      <w:r w:rsidR="00732B15" w:rsidRPr="005376D1">
        <w:t xml:space="preserve">. </w:t>
      </w:r>
      <w:r w:rsidR="00E83721" w:rsidRPr="008D1A63">
        <w:t>Des discussions ciblées ont lieu sur l’incidence de</w:t>
      </w:r>
      <w:r w:rsidR="008D1A63" w:rsidRPr="008D1A63">
        <w:t>s déclarat</w:t>
      </w:r>
      <w:r w:rsidR="008D1A63">
        <w:t xml:space="preserve">ions de culpabilité </w:t>
      </w:r>
      <w:r w:rsidR="001675C5">
        <w:t>d’entreprise commune</w:t>
      </w:r>
      <w:r w:rsidR="00732B15" w:rsidRPr="008D1A63">
        <w:t xml:space="preserve">. </w:t>
      </w:r>
      <w:r w:rsidR="008D1A63">
        <w:t>Les recommandations comprennent les suivantes</w:t>
      </w:r>
      <w:r w:rsidR="00ED59F2" w:rsidRPr="00897DDB">
        <w:rPr>
          <w:rStyle w:val="FootnoteReference"/>
        </w:rPr>
        <w:footnoteReference w:id="35"/>
      </w:r>
      <w:r w:rsidR="008D1A63">
        <w:t> </w:t>
      </w:r>
      <w:r w:rsidR="00732B15" w:rsidRPr="00897DDB">
        <w:t>:</w:t>
      </w:r>
    </w:p>
    <w:p w14:paraId="735A495B" w14:textId="4569A165" w:rsidR="00732B15" w:rsidRPr="00897DDB" w:rsidRDefault="00844843" w:rsidP="00732B15">
      <w:pPr>
        <w:pStyle w:val="ListParagraph"/>
        <w:numPr>
          <w:ilvl w:val="2"/>
          <w:numId w:val="4"/>
        </w:numPr>
        <w:spacing w:line="240" w:lineRule="auto"/>
        <w:jc w:val="both"/>
      </w:pPr>
      <w:r>
        <w:t>l</w:t>
      </w:r>
      <w:r w:rsidR="00C848E5" w:rsidRPr="008D1A63">
        <w:t>a CCRC doit prioriser l</w:t>
      </w:r>
      <w:r w:rsidR="008D1A63" w:rsidRPr="008D1A63">
        <w:t>a révision d’affaires relatives à des dé</w:t>
      </w:r>
      <w:r w:rsidR="008D1A63">
        <w:t xml:space="preserve">tenus </w:t>
      </w:r>
      <w:r w:rsidR="00031127">
        <w:t xml:space="preserve">qui avaient moins de 18 ans </w:t>
      </w:r>
      <w:r w:rsidR="001D6B97">
        <w:t>lorsqu</w:t>
      </w:r>
      <w:r w:rsidR="00031127">
        <w:t xml:space="preserve">e leur peine a </w:t>
      </w:r>
      <w:r>
        <w:t xml:space="preserve">été </w:t>
      </w:r>
      <w:r w:rsidR="00031127">
        <w:t>infligée</w:t>
      </w:r>
      <w:r w:rsidR="00F76F87">
        <w:t>;</w:t>
      </w:r>
    </w:p>
    <w:p w14:paraId="6999DFDD" w14:textId="71BFF6D0" w:rsidR="00732B15" w:rsidRPr="00897DDB" w:rsidRDefault="00031127" w:rsidP="00732B15">
      <w:pPr>
        <w:pStyle w:val="ListParagraph"/>
        <w:numPr>
          <w:ilvl w:val="2"/>
          <w:numId w:val="4"/>
        </w:numPr>
        <w:spacing w:line="240" w:lineRule="auto"/>
        <w:jc w:val="both"/>
      </w:pPr>
      <w:r>
        <w:t>un budget</w:t>
      </w:r>
      <w:r w:rsidR="00844843" w:rsidRPr="00844843">
        <w:t xml:space="preserve"> devrait être prévu pour une unité spécialisée à </w:t>
      </w:r>
      <w:r w:rsidR="00844843">
        <w:t xml:space="preserve">la </w:t>
      </w:r>
      <w:r w:rsidR="00732B15" w:rsidRPr="00844843">
        <w:t xml:space="preserve">CCRC </w:t>
      </w:r>
      <w:r w:rsidR="00844843">
        <w:t xml:space="preserve">chargée de </w:t>
      </w:r>
      <w:r w:rsidR="00800049">
        <w:t xml:space="preserve">traiter les affaires </w:t>
      </w:r>
      <w:r>
        <w:t>touchant les</w:t>
      </w:r>
      <w:r w:rsidR="00800049">
        <w:t xml:space="preserve"> adolescents </w:t>
      </w:r>
      <w:r w:rsidR="00F76F87">
        <w:t>et d’identifier de manière proactive ceux ayant pu être condamnés à tort;</w:t>
      </w:r>
    </w:p>
    <w:p w14:paraId="36129DBE" w14:textId="347AAC5B" w:rsidR="00732B15" w:rsidRPr="008D4FE9" w:rsidRDefault="00B85D4B" w:rsidP="00732B15">
      <w:pPr>
        <w:pStyle w:val="ListParagraph"/>
        <w:numPr>
          <w:ilvl w:val="2"/>
          <w:numId w:val="4"/>
        </w:numPr>
        <w:spacing w:line="240" w:lineRule="auto"/>
        <w:jc w:val="both"/>
      </w:pPr>
      <w:r w:rsidRPr="00B85D4B">
        <w:lastRenderedPageBreak/>
        <w:t xml:space="preserve">la </w:t>
      </w:r>
      <w:r>
        <w:t>portée des services de défense des intérêts</w:t>
      </w:r>
      <w:r w:rsidR="00732B15" w:rsidRPr="00B85D4B">
        <w:t xml:space="preserve"> </w:t>
      </w:r>
      <w:r w:rsidR="00292DBA" w:rsidRPr="00B85D4B">
        <w:t xml:space="preserve">dans les établissements pour </w:t>
      </w:r>
      <w:r w:rsidR="00737EA1">
        <w:t>adolescents</w:t>
      </w:r>
      <w:r w:rsidR="00292DBA" w:rsidRPr="00B85D4B">
        <w:t xml:space="preserve"> </w:t>
      </w:r>
      <w:r>
        <w:t xml:space="preserve">doit être élargie de manière à inclure </w:t>
      </w:r>
      <w:r w:rsidR="001C7F21">
        <w:t xml:space="preserve">la prestation de conseils sur l’application à la </w:t>
      </w:r>
      <w:r w:rsidR="00732B15" w:rsidRPr="008D4FE9">
        <w:t>CCRC</w:t>
      </w:r>
      <w:r w:rsidR="001C7F21" w:rsidRPr="008D4FE9">
        <w:t>.</w:t>
      </w:r>
    </w:p>
    <w:p w14:paraId="033A41A4" w14:textId="77777777" w:rsidR="00FF62CF" w:rsidRPr="008D4FE9" w:rsidRDefault="00FF62CF" w:rsidP="00FF62CF">
      <w:pPr>
        <w:pStyle w:val="ListParagraph"/>
        <w:spacing w:line="240" w:lineRule="auto"/>
      </w:pPr>
    </w:p>
    <w:p w14:paraId="6CF4EC38" w14:textId="057348E3" w:rsidR="00FF62CF" w:rsidRPr="00F43A84" w:rsidRDefault="00F43A84" w:rsidP="00E3728F">
      <w:pPr>
        <w:pStyle w:val="ListParagraph"/>
        <w:numPr>
          <w:ilvl w:val="0"/>
          <w:numId w:val="1"/>
        </w:numPr>
        <w:jc w:val="both"/>
      </w:pPr>
      <w:r w:rsidRPr="00F43A84">
        <w:t>L’ensemble des conclusions et des reco</w:t>
      </w:r>
      <w:bookmarkStart w:id="0" w:name="_GoBack"/>
      <w:bookmarkEnd w:id="0"/>
      <w:r w:rsidRPr="00F43A84">
        <w:t xml:space="preserve">mmandations </w:t>
      </w:r>
      <w:r w:rsidR="007D42E2">
        <w:t>sont</w:t>
      </w:r>
      <w:r w:rsidRPr="00F43A84">
        <w:t xml:space="preserve"> résumé</w:t>
      </w:r>
      <w:r w:rsidR="007D42E2">
        <w:t>es</w:t>
      </w:r>
      <w:r w:rsidRPr="00F43A84">
        <w:t xml:space="preserve"> dans le </w:t>
      </w:r>
      <w:hyperlink r:id="rId16" w:history="1">
        <w:r w:rsidR="000536B2" w:rsidRPr="00F43A84">
          <w:rPr>
            <w:rStyle w:val="Hyperlink"/>
          </w:rPr>
          <w:t>r</w:t>
        </w:r>
        <w:r>
          <w:rPr>
            <w:rStyle w:val="Hyperlink"/>
          </w:rPr>
          <w:t>apport</w:t>
        </w:r>
      </w:hyperlink>
      <w:r w:rsidR="00ED59F2" w:rsidRPr="00F43A84">
        <w:t xml:space="preserve"> </w:t>
      </w:r>
      <w:r>
        <w:t>à la p. </w:t>
      </w:r>
      <w:r w:rsidR="00732B15" w:rsidRPr="00F43A84">
        <w:t>65.</w:t>
      </w:r>
    </w:p>
    <w:sectPr w:rsidR="00FF62CF" w:rsidRPr="00F43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297A7" w14:textId="77777777" w:rsidR="00FC0A2A" w:rsidRDefault="00FC0A2A" w:rsidP="006906E6">
      <w:pPr>
        <w:spacing w:after="0" w:line="240" w:lineRule="auto"/>
      </w:pPr>
      <w:r>
        <w:separator/>
      </w:r>
    </w:p>
  </w:endnote>
  <w:endnote w:type="continuationSeparator" w:id="0">
    <w:p w14:paraId="72494306" w14:textId="77777777" w:rsidR="00FC0A2A" w:rsidRDefault="00FC0A2A" w:rsidP="0069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4906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CD89D" w14:textId="77777777" w:rsidR="00A90EAB" w:rsidRDefault="00A90EAB" w:rsidP="00ED59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6EE862" w14:textId="77777777" w:rsidR="00A90EAB" w:rsidRDefault="00A90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55445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F93DC" w14:textId="18CC3C00" w:rsidR="00A90EAB" w:rsidRDefault="00A90EAB" w:rsidP="00ED59F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1127">
          <w:rPr>
            <w:rStyle w:val="PageNumber"/>
          </w:rPr>
          <w:t>5</w:t>
        </w:r>
        <w:r>
          <w:rPr>
            <w:rStyle w:val="PageNumber"/>
          </w:rPr>
          <w:fldChar w:fldCharType="end"/>
        </w:r>
      </w:p>
    </w:sdtContent>
  </w:sdt>
  <w:p w14:paraId="6CA825BA" w14:textId="77777777" w:rsidR="00A90EAB" w:rsidRDefault="00A90E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96FB1" w14:textId="77777777" w:rsidR="002F44AC" w:rsidRDefault="002F4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4D53" w14:textId="77777777" w:rsidR="00FC0A2A" w:rsidRDefault="00FC0A2A" w:rsidP="006906E6">
      <w:pPr>
        <w:spacing w:after="0" w:line="240" w:lineRule="auto"/>
      </w:pPr>
      <w:r>
        <w:separator/>
      </w:r>
    </w:p>
  </w:footnote>
  <w:footnote w:type="continuationSeparator" w:id="0">
    <w:p w14:paraId="0D1D46A0" w14:textId="77777777" w:rsidR="00FC0A2A" w:rsidRDefault="00FC0A2A" w:rsidP="006906E6">
      <w:pPr>
        <w:spacing w:after="0" w:line="240" w:lineRule="auto"/>
      </w:pPr>
      <w:r>
        <w:continuationSeparator/>
      </w:r>
    </w:p>
  </w:footnote>
  <w:footnote w:id="1">
    <w:p w14:paraId="08D01BE9" w14:textId="641F6B8F" w:rsidR="00A90EAB" w:rsidRPr="009762C7" w:rsidRDefault="00A90EAB">
      <w:pPr>
        <w:pStyle w:val="FootnoteText"/>
        <w:rPr>
          <w:sz w:val="16"/>
          <w:szCs w:val="16"/>
        </w:rPr>
      </w:pPr>
      <w:r w:rsidRPr="00311FD1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6</w:t>
      </w:r>
    </w:p>
  </w:footnote>
  <w:footnote w:id="2">
    <w:p w14:paraId="32CB6B2C" w14:textId="2D5B5F64" w:rsidR="00A90EAB" w:rsidRPr="009762C7" w:rsidRDefault="00A90EAB">
      <w:pPr>
        <w:pStyle w:val="FootnoteText"/>
        <w:rPr>
          <w:sz w:val="16"/>
          <w:szCs w:val="16"/>
        </w:rPr>
      </w:pPr>
      <w:r w:rsidRPr="00311FD1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17</w:t>
      </w:r>
    </w:p>
  </w:footnote>
  <w:footnote w:id="3">
    <w:p w14:paraId="40DB534C" w14:textId="61552335" w:rsidR="00A90EAB" w:rsidRPr="009762C7" w:rsidRDefault="00A90EAB">
      <w:pPr>
        <w:pStyle w:val="FootnoteText"/>
        <w:rPr>
          <w:sz w:val="16"/>
          <w:szCs w:val="16"/>
        </w:rPr>
      </w:pPr>
      <w:r w:rsidRPr="00311FD1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20</w:t>
      </w:r>
    </w:p>
  </w:footnote>
  <w:footnote w:id="4">
    <w:p w14:paraId="39175C0F" w14:textId="6E78C08A" w:rsidR="00A90EAB" w:rsidRPr="009762C7" w:rsidRDefault="00A90EAB">
      <w:pPr>
        <w:pStyle w:val="FootnoteText"/>
        <w:rPr>
          <w:sz w:val="16"/>
          <w:szCs w:val="16"/>
        </w:rPr>
      </w:pPr>
      <w:r w:rsidRPr="00311FD1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21</w:t>
      </w:r>
    </w:p>
  </w:footnote>
  <w:footnote w:id="5">
    <w:p w14:paraId="50336FEF" w14:textId="10A7A29A" w:rsidR="00A90EAB" w:rsidRPr="009762C7" w:rsidRDefault="00A90EAB">
      <w:pPr>
        <w:pStyle w:val="FootnoteText"/>
        <w:rPr>
          <w:sz w:val="16"/>
          <w:szCs w:val="16"/>
        </w:rPr>
      </w:pPr>
      <w:r w:rsidRPr="00311FD1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 21</w:t>
      </w:r>
    </w:p>
  </w:footnote>
  <w:footnote w:id="6">
    <w:p w14:paraId="6059FE69" w14:textId="7CE84A23" w:rsidR="00A90EAB" w:rsidRPr="009762C7" w:rsidRDefault="00A90EAB">
      <w:pPr>
        <w:pStyle w:val="FootnoteText"/>
        <w:rPr>
          <w:sz w:val="16"/>
          <w:szCs w:val="16"/>
        </w:rPr>
      </w:pPr>
      <w:r w:rsidRPr="00311FD1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22</w:t>
      </w:r>
    </w:p>
  </w:footnote>
  <w:footnote w:id="7">
    <w:p w14:paraId="7781F322" w14:textId="2AB6160A" w:rsidR="00A90EAB" w:rsidRPr="009762C7" w:rsidRDefault="00A90EAB">
      <w:pPr>
        <w:pStyle w:val="FootnoteText"/>
        <w:rPr>
          <w:sz w:val="16"/>
          <w:szCs w:val="16"/>
        </w:rPr>
      </w:pPr>
      <w:r w:rsidRPr="00311FD1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22</w:t>
      </w:r>
    </w:p>
  </w:footnote>
  <w:footnote w:id="8">
    <w:p w14:paraId="4F595C42" w14:textId="15BB6602" w:rsidR="00A90EAB" w:rsidRPr="009762C7" w:rsidRDefault="00A90EAB">
      <w:pPr>
        <w:pStyle w:val="FootnoteText"/>
        <w:rPr>
          <w:sz w:val="16"/>
          <w:szCs w:val="16"/>
        </w:rPr>
      </w:pPr>
      <w:r w:rsidRPr="00311FD1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23</w:t>
      </w:r>
    </w:p>
  </w:footnote>
  <w:footnote w:id="9">
    <w:p w14:paraId="32352206" w14:textId="1CA68B31" w:rsidR="00A90EAB" w:rsidRPr="009762C7" w:rsidRDefault="00A90EAB">
      <w:pPr>
        <w:pStyle w:val="FootnoteText"/>
      </w:pPr>
      <w:r w:rsidRPr="00311FD1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25</w:t>
      </w:r>
    </w:p>
  </w:footnote>
  <w:footnote w:id="10">
    <w:p w14:paraId="3B67160C" w14:textId="47DCACC3" w:rsidR="00A90EAB" w:rsidRPr="00AD6BE9" w:rsidRDefault="00A90EAB">
      <w:pPr>
        <w:pStyle w:val="FootnoteText"/>
        <w:rPr>
          <w:sz w:val="16"/>
          <w:szCs w:val="16"/>
        </w:rPr>
      </w:pPr>
      <w:r w:rsidRPr="00ED59F2">
        <w:rPr>
          <w:rStyle w:val="FootnoteReference"/>
          <w:sz w:val="16"/>
          <w:szCs w:val="16"/>
        </w:rPr>
        <w:footnoteRef/>
      </w:r>
      <w:r w:rsidRPr="00AD6BE9">
        <w:rPr>
          <w:sz w:val="16"/>
          <w:szCs w:val="16"/>
        </w:rPr>
        <w:t xml:space="preserve"> La question du sous-financement chronique de la CCRC e</w:t>
      </w:r>
      <w:r>
        <w:rPr>
          <w:sz w:val="16"/>
          <w:szCs w:val="16"/>
        </w:rPr>
        <w:t>st abordée aux p. </w:t>
      </w:r>
      <w:r w:rsidRPr="00AD6BE9">
        <w:rPr>
          <w:sz w:val="16"/>
          <w:szCs w:val="16"/>
        </w:rPr>
        <w:t>27</w:t>
      </w:r>
      <w:r>
        <w:rPr>
          <w:sz w:val="16"/>
          <w:szCs w:val="16"/>
        </w:rPr>
        <w:t xml:space="preserve"> à </w:t>
      </w:r>
      <w:r w:rsidRPr="00AD6BE9">
        <w:rPr>
          <w:sz w:val="16"/>
          <w:szCs w:val="16"/>
        </w:rPr>
        <w:t>31.</w:t>
      </w:r>
    </w:p>
  </w:footnote>
  <w:footnote w:id="11">
    <w:p w14:paraId="7CC5AA57" w14:textId="3A772CA1" w:rsidR="00A90EAB" w:rsidRPr="002A71AB" w:rsidRDefault="00A90EAB">
      <w:pPr>
        <w:pStyle w:val="FootnoteText"/>
        <w:rPr>
          <w:sz w:val="16"/>
          <w:szCs w:val="16"/>
        </w:rPr>
      </w:pPr>
      <w:r w:rsidRPr="00ED59F2">
        <w:rPr>
          <w:rStyle w:val="FootnoteReference"/>
          <w:sz w:val="16"/>
          <w:szCs w:val="16"/>
        </w:rPr>
        <w:footnoteRef/>
      </w:r>
      <w:r w:rsidRPr="002A71AB">
        <w:rPr>
          <w:sz w:val="16"/>
          <w:szCs w:val="16"/>
        </w:rPr>
        <w:t xml:space="preserve"> P. 28</w:t>
      </w:r>
    </w:p>
  </w:footnote>
  <w:footnote w:id="12">
    <w:p w14:paraId="4624BF98" w14:textId="4A691491" w:rsidR="00A90EAB" w:rsidRPr="002A71AB" w:rsidRDefault="00A90EAB">
      <w:pPr>
        <w:pStyle w:val="FootnoteText"/>
        <w:rPr>
          <w:sz w:val="16"/>
          <w:szCs w:val="16"/>
        </w:rPr>
      </w:pPr>
      <w:r w:rsidRPr="00ED59F2">
        <w:rPr>
          <w:rStyle w:val="FootnoteReference"/>
          <w:sz w:val="16"/>
          <w:szCs w:val="16"/>
        </w:rPr>
        <w:footnoteRef/>
      </w:r>
      <w:r w:rsidRPr="002A71AB">
        <w:rPr>
          <w:sz w:val="16"/>
          <w:szCs w:val="16"/>
        </w:rPr>
        <w:t xml:space="preserve"> P. 30</w:t>
      </w:r>
    </w:p>
  </w:footnote>
  <w:footnote w:id="13">
    <w:p w14:paraId="0AD70AF4" w14:textId="361C60C3" w:rsidR="00A90EAB" w:rsidRPr="002A71AB" w:rsidRDefault="00A90EAB">
      <w:pPr>
        <w:pStyle w:val="FootnoteText"/>
        <w:rPr>
          <w:sz w:val="16"/>
          <w:szCs w:val="16"/>
        </w:rPr>
      </w:pPr>
      <w:r w:rsidRPr="00ED59F2">
        <w:rPr>
          <w:rStyle w:val="FootnoteReference"/>
          <w:sz w:val="16"/>
          <w:szCs w:val="16"/>
        </w:rPr>
        <w:footnoteRef/>
      </w:r>
      <w:r w:rsidRPr="002A71AB">
        <w:rPr>
          <w:sz w:val="16"/>
          <w:szCs w:val="16"/>
        </w:rPr>
        <w:t xml:space="preserve"> P. 33</w:t>
      </w:r>
    </w:p>
  </w:footnote>
  <w:footnote w:id="14">
    <w:p w14:paraId="76CBF938" w14:textId="216C8616" w:rsidR="00A90EAB" w:rsidRPr="002A71AB" w:rsidRDefault="00A90EAB">
      <w:pPr>
        <w:pStyle w:val="FootnoteText"/>
        <w:rPr>
          <w:sz w:val="16"/>
          <w:szCs w:val="16"/>
        </w:rPr>
      </w:pPr>
      <w:r w:rsidRPr="00ED59F2">
        <w:rPr>
          <w:rStyle w:val="FootnoteReference"/>
          <w:sz w:val="16"/>
          <w:szCs w:val="16"/>
        </w:rPr>
        <w:footnoteRef/>
      </w:r>
      <w:r w:rsidRPr="002A71AB">
        <w:rPr>
          <w:sz w:val="16"/>
          <w:szCs w:val="16"/>
        </w:rPr>
        <w:t xml:space="preserve"> P. 34</w:t>
      </w:r>
    </w:p>
  </w:footnote>
  <w:footnote w:id="15">
    <w:p w14:paraId="0A24DD99" w14:textId="5BCADF0E" w:rsidR="00A90EAB" w:rsidRPr="002A71AB" w:rsidRDefault="00A90EAB">
      <w:pPr>
        <w:pStyle w:val="FootnoteText"/>
        <w:rPr>
          <w:sz w:val="16"/>
          <w:szCs w:val="16"/>
        </w:rPr>
      </w:pPr>
      <w:r w:rsidRPr="00ED59F2">
        <w:rPr>
          <w:rStyle w:val="FootnoteReference"/>
          <w:sz w:val="16"/>
          <w:szCs w:val="16"/>
        </w:rPr>
        <w:footnoteRef/>
      </w:r>
      <w:r w:rsidRPr="002A71AB">
        <w:rPr>
          <w:sz w:val="16"/>
          <w:szCs w:val="16"/>
        </w:rPr>
        <w:t xml:space="preserve"> P. 35</w:t>
      </w:r>
    </w:p>
  </w:footnote>
  <w:footnote w:id="16">
    <w:p w14:paraId="4355DA9F" w14:textId="1D6C9DCE" w:rsidR="00A90EAB" w:rsidRPr="002A71AB" w:rsidRDefault="00A90EAB">
      <w:pPr>
        <w:pStyle w:val="FootnoteText"/>
        <w:rPr>
          <w:sz w:val="16"/>
          <w:szCs w:val="16"/>
        </w:rPr>
      </w:pPr>
      <w:r w:rsidRPr="00ED59F2">
        <w:rPr>
          <w:rStyle w:val="FootnoteReference"/>
          <w:sz w:val="16"/>
          <w:szCs w:val="16"/>
        </w:rPr>
        <w:footnoteRef/>
      </w:r>
      <w:r w:rsidRPr="002A71AB">
        <w:rPr>
          <w:sz w:val="16"/>
          <w:szCs w:val="16"/>
        </w:rPr>
        <w:t xml:space="preserve"> P. 37</w:t>
      </w:r>
    </w:p>
  </w:footnote>
  <w:footnote w:id="17">
    <w:p w14:paraId="4FB0EDC3" w14:textId="362B5E15" w:rsidR="00A90EAB" w:rsidRPr="002A71AB" w:rsidRDefault="00A90EAB">
      <w:pPr>
        <w:pStyle w:val="FootnoteText"/>
        <w:rPr>
          <w:sz w:val="16"/>
          <w:szCs w:val="16"/>
        </w:rPr>
      </w:pPr>
      <w:r w:rsidRPr="00ED59F2">
        <w:rPr>
          <w:rStyle w:val="FootnoteReference"/>
          <w:sz w:val="16"/>
          <w:szCs w:val="16"/>
        </w:rPr>
        <w:footnoteRef/>
      </w:r>
      <w:r w:rsidRPr="002A71AB">
        <w:rPr>
          <w:sz w:val="16"/>
          <w:szCs w:val="16"/>
        </w:rPr>
        <w:t xml:space="preserve"> P. 37</w:t>
      </w:r>
    </w:p>
  </w:footnote>
  <w:footnote w:id="18">
    <w:p w14:paraId="519E302C" w14:textId="7432F7C1" w:rsidR="00A90EAB" w:rsidRPr="002A71AB" w:rsidRDefault="00A90EAB">
      <w:pPr>
        <w:pStyle w:val="FootnoteText"/>
        <w:rPr>
          <w:sz w:val="16"/>
          <w:szCs w:val="16"/>
        </w:rPr>
      </w:pPr>
      <w:r w:rsidRPr="00ED59F2">
        <w:rPr>
          <w:rStyle w:val="FootnoteReference"/>
          <w:sz w:val="16"/>
          <w:szCs w:val="16"/>
        </w:rPr>
        <w:footnoteRef/>
      </w:r>
      <w:r w:rsidRPr="002A71AB">
        <w:rPr>
          <w:sz w:val="16"/>
          <w:szCs w:val="16"/>
        </w:rPr>
        <w:t xml:space="preserve"> P. 39</w:t>
      </w:r>
    </w:p>
  </w:footnote>
  <w:footnote w:id="19">
    <w:p w14:paraId="3CAAFC20" w14:textId="1A65ACE8" w:rsidR="00A90EAB" w:rsidRPr="002A71AB" w:rsidRDefault="00A90EAB">
      <w:pPr>
        <w:pStyle w:val="FootnoteText"/>
      </w:pPr>
      <w:r w:rsidRPr="00ED59F2">
        <w:rPr>
          <w:rStyle w:val="FootnoteReference"/>
          <w:sz w:val="16"/>
          <w:szCs w:val="16"/>
        </w:rPr>
        <w:footnoteRef/>
      </w:r>
      <w:r w:rsidRPr="002A71AB">
        <w:rPr>
          <w:sz w:val="16"/>
          <w:szCs w:val="16"/>
        </w:rPr>
        <w:t xml:space="preserve"> </w:t>
      </w:r>
      <w:r w:rsidR="002A71AB" w:rsidRPr="002A71AB">
        <w:rPr>
          <w:sz w:val="16"/>
          <w:szCs w:val="16"/>
        </w:rPr>
        <w:t>P. </w:t>
      </w:r>
      <w:r w:rsidRPr="002A71AB">
        <w:rPr>
          <w:sz w:val="16"/>
          <w:szCs w:val="16"/>
        </w:rPr>
        <w:t>40</w:t>
      </w:r>
    </w:p>
  </w:footnote>
  <w:footnote w:id="20">
    <w:p w14:paraId="06971FEF" w14:textId="7E5472D9" w:rsidR="00A90EAB" w:rsidRPr="002A71AB" w:rsidRDefault="00A90EAB">
      <w:pPr>
        <w:pStyle w:val="FootnoteText"/>
        <w:rPr>
          <w:sz w:val="16"/>
          <w:szCs w:val="16"/>
        </w:rPr>
      </w:pPr>
      <w:r w:rsidRPr="00AF7C57">
        <w:rPr>
          <w:rStyle w:val="FootnoteReference"/>
          <w:sz w:val="16"/>
          <w:szCs w:val="16"/>
        </w:rPr>
        <w:footnoteRef/>
      </w:r>
      <w:r w:rsidRPr="002A71AB">
        <w:rPr>
          <w:sz w:val="16"/>
          <w:szCs w:val="16"/>
        </w:rPr>
        <w:t xml:space="preserve"> </w:t>
      </w:r>
      <w:r w:rsidR="002A71AB" w:rsidRPr="002A71AB">
        <w:rPr>
          <w:sz w:val="16"/>
          <w:szCs w:val="16"/>
        </w:rPr>
        <w:t>P. </w:t>
      </w:r>
      <w:r w:rsidRPr="002A71AB">
        <w:rPr>
          <w:sz w:val="16"/>
          <w:szCs w:val="16"/>
        </w:rPr>
        <w:t>40</w:t>
      </w:r>
    </w:p>
  </w:footnote>
  <w:footnote w:id="21">
    <w:p w14:paraId="6EB0D229" w14:textId="3E7A5085" w:rsidR="00A90EAB" w:rsidRPr="009762C7" w:rsidRDefault="00A90EAB">
      <w:pPr>
        <w:pStyle w:val="FootnoteText"/>
        <w:rPr>
          <w:sz w:val="16"/>
          <w:szCs w:val="16"/>
        </w:rPr>
      </w:pPr>
      <w:r w:rsidRPr="00AF7C57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</w:t>
      </w:r>
      <w:r w:rsidR="002A71AB" w:rsidRPr="009762C7">
        <w:rPr>
          <w:sz w:val="16"/>
          <w:szCs w:val="16"/>
        </w:rPr>
        <w:t>P. </w:t>
      </w:r>
      <w:r w:rsidRPr="009762C7">
        <w:rPr>
          <w:sz w:val="16"/>
          <w:szCs w:val="16"/>
        </w:rPr>
        <w:t>42</w:t>
      </w:r>
    </w:p>
  </w:footnote>
  <w:footnote w:id="22">
    <w:p w14:paraId="107B73E5" w14:textId="587D7165" w:rsidR="00A90EAB" w:rsidRPr="009762C7" w:rsidRDefault="00A90EAB">
      <w:pPr>
        <w:pStyle w:val="FootnoteText"/>
        <w:rPr>
          <w:sz w:val="16"/>
          <w:szCs w:val="16"/>
        </w:rPr>
      </w:pPr>
      <w:r w:rsidRPr="00AF7C57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</w:t>
      </w:r>
      <w:r w:rsidR="002A71AB" w:rsidRPr="009762C7">
        <w:rPr>
          <w:sz w:val="16"/>
          <w:szCs w:val="16"/>
        </w:rPr>
        <w:t>P. </w:t>
      </w:r>
      <w:r w:rsidRPr="009762C7">
        <w:rPr>
          <w:sz w:val="16"/>
          <w:szCs w:val="16"/>
        </w:rPr>
        <w:t>44</w:t>
      </w:r>
    </w:p>
  </w:footnote>
  <w:footnote w:id="23">
    <w:p w14:paraId="6B19DB8D" w14:textId="7F75B4E9" w:rsidR="00A90EAB" w:rsidRPr="002A71AB" w:rsidRDefault="00A90EAB">
      <w:pPr>
        <w:pStyle w:val="FootnoteText"/>
        <w:rPr>
          <w:sz w:val="16"/>
          <w:szCs w:val="16"/>
        </w:rPr>
      </w:pPr>
      <w:r w:rsidRPr="00AF7C57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</w:t>
      </w:r>
      <w:r w:rsidR="002A71AB" w:rsidRPr="009762C7">
        <w:rPr>
          <w:sz w:val="16"/>
          <w:szCs w:val="16"/>
        </w:rPr>
        <w:t>P. </w:t>
      </w:r>
      <w:r w:rsidRPr="009762C7">
        <w:rPr>
          <w:sz w:val="16"/>
          <w:szCs w:val="16"/>
        </w:rPr>
        <w:t xml:space="preserve">44. </w:t>
      </w:r>
      <w:r w:rsidR="002A71AB" w:rsidRPr="002A71AB">
        <w:rPr>
          <w:sz w:val="16"/>
          <w:szCs w:val="16"/>
        </w:rPr>
        <w:t>Cel</w:t>
      </w:r>
      <w:r w:rsidR="00BC6BFB">
        <w:rPr>
          <w:sz w:val="16"/>
          <w:szCs w:val="16"/>
        </w:rPr>
        <w:t>a</w:t>
      </w:r>
      <w:r w:rsidR="002A71AB" w:rsidRPr="002A71AB">
        <w:rPr>
          <w:sz w:val="16"/>
          <w:szCs w:val="16"/>
        </w:rPr>
        <w:t xml:space="preserve"> peut être particulièrement pertinent lorsqu’il s’agit de personnes faisant l’objet de discrimination, d</w:t>
      </w:r>
      <w:r w:rsidR="00BC6BFB">
        <w:rPr>
          <w:sz w:val="16"/>
          <w:szCs w:val="16"/>
        </w:rPr>
        <w:t>’adolescents</w:t>
      </w:r>
      <w:r w:rsidR="002A71AB">
        <w:rPr>
          <w:sz w:val="16"/>
          <w:szCs w:val="16"/>
        </w:rPr>
        <w:t>, de personnes vulnérables, etc.</w:t>
      </w:r>
    </w:p>
  </w:footnote>
  <w:footnote w:id="24">
    <w:p w14:paraId="5A089560" w14:textId="47A298F3" w:rsidR="00A90EAB" w:rsidRPr="009762C7" w:rsidRDefault="00A90EAB">
      <w:pPr>
        <w:pStyle w:val="FootnoteText"/>
        <w:rPr>
          <w:sz w:val="16"/>
          <w:szCs w:val="16"/>
        </w:rPr>
      </w:pPr>
      <w:r w:rsidRPr="00AF7C57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</w:t>
      </w:r>
      <w:r w:rsidR="002A71AB" w:rsidRPr="009762C7">
        <w:rPr>
          <w:sz w:val="16"/>
          <w:szCs w:val="16"/>
        </w:rPr>
        <w:t xml:space="preserve">P. </w:t>
      </w:r>
      <w:r w:rsidRPr="009762C7">
        <w:rPr>
          <w:sz w:val="16"/>
          <w:szCs w:val="16"/>
        </w:rPr>
        <w:t>48</w:t>
      </w:r>
    </w:p>
  </w:footnote>
  <w:footnote w:id="25">
    <w:p w14:paraId="1657661C" w14:textId="05041463" w:rsidR="00A90EAB" w:rsidRPr="009762C7" w:rsidRDefault="00A90EAB">
      <w:pPr>
        <w:pStyle w:val="FootnoteText"/>
        <w:rPr>
          <w:sz w:val="16"/>
          <w:szCs w:val="16"/>
        </w:rPr>
      </w:pPr>
      <w:r w:rsidRPr="00AF7C57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49</w:t>
      </w:r>
    </w:p>
  </w:footnote>
  <w:footnote w:id="26">
    <w:p w14:paraId="31F4F8AB" w14:textId="35B24795" w:rsidR="00A90EAB" w:rsidRPr="009762C7" w:rsidRDefault="00A90EAB">
      <w:pPr>
        <w:pStyle w:val="FootnoteText"/>
        <w:rPr>
          <w:sz w:val="16"/>
          <w:szCs w:val="16"/>
        </w:rPr>
      </w:pPr>
      <w:r w:rsidRPr="00AF7C57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49</w:t>
      </w:r>
    </w:p>
  </w:footnote>
  <w:footnote w:id="27">
    <w:p w14:paraId="1DF49050" w14:textId="491EE098" w:rsidR="00A90EAB" w:rsidRPr="009762C7" w:rsidRDefault="00A90EAB">
      <w:pPr>
        <w:pStyle w:val="FootnoteText"/>
        <w:rPr>
          <w:sz w:val="16"/>
          <w:szCs w:val="16"/>
        </w:rPr>
      </w:pPr>
      <w:r w:rsidRPr="00AF7C57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51</w:t>
      </w:r>
    </w:p>
  </w:footnote>
  <w:footnote w:id="28">
    <w:p w14:paraId="4A511EE2" w14:textId="70704431" w:rsidR="00A90EAB" w:rsidRPr="009762C7" w:rsidRDefault="00A90EAB">
      <w:pPr>
        <w:pStyle w:val="FootnoteText"/>
        <w:rPr>
          <w:sz w:val="16"/>
          <w:szCs w:val="16"/>
        </w:rPr>
      </w:pPr>
      <w:r w:rsidRPr="00AF7C57">
        <w:rPr>
          <w:rStyle w:val="FootnoteReference"/>
          <w:sz w:val="16"/>
          <w:szCs w:val="16"/>
        </w:rPr>
        <w:footnoteRef/>
      </w:r>
      <w:r w:rsidRPr="009762C7">
        <w:rPr>
          <w:sz w:val="16"/>
          <w:szCs w:val="16"/>
        </w:rPr>
        <w:t xml:space="preserve"> P. 52</w:t>
      </w:r>
    </w:p>
  </w:footnote>
  <w:footnote w:id="29">
    <w:p w14:paraId="251AAB6E" w14:textId="39E65560" w:rsidR="00A90EAB" w:rsidRPr="00292DBA" w:rsidRDefault="00A90EAB">
      <w:pPr>
        <w:pStyle w:val="FootnoteText"/>
        <w:rPr>
          <w:sz w:val="16"/>
          <w:szCs w:val="16"/>
        </w:rPr>
      </w:pPr>
      <w:r w:rsidRPr="00AF7C57">
        <w:rPr>
          <w:rStyle w:val="FootnoteReference"/>
          <w:sz w:val="16"/>
          <w:szCs w:val="16"/>
        </w:rPr>
        <w:footnoteRef/>
      </w:r>
      <w:r w:rsidRPr="00292DBA">
        <w:rPr>
          <w:sz w:val="16"/>
          <w:szCs w:val="16"/>
        </w:rPr>
        <w:t xml:space="preserve"> </w:t>
      </w:r>
      <w:r w:rsidR="00E301FC">
        <w:rPr>
          <w:sz w:val="16"/>
          <w:szCs w:val="16"/>
        </w:rPr>
        <w:t>L</w:t>
      </w:r>
      <w:r w:rsidR="00E301FC" w:rsidRPr="00292DBA">
        <w:rPr>
          <w:sz w:val="16"/>
          <w:szCs w:val="16"/>
        </w:rPr>
        <w:t>a CCRC norvé</w:t>
      </w:r>
      <w:r w:rsidR="00E301FC">
        <w:rPr>
          <w:sz w:val="16"/>
          <w:szCs w:val="16"/>
        </w:rPr>
        <w:t>gienne</w:t>
      </w:r>
      <w:r w:rsidR="00E301FC" w:rsidRPr="00292DBA">
        <w:rPr>
          <w:sz w:val="16"/>
          <w:szCs w:val="16"/>
        </w:rPr>
        <w:t xml:space="preserve"> </w:t>
      </w:r>
      <w:r w:rsidR="00E301FC">
        <w:rPr>
          <w:sz w:val="16"/>
          <w:szCs w:val="16"/>
        </w:rPr>
        <w:t>montre également l</w:t>
      </w:r>
      <w:r w:rsidR="000640B3" w:rsidRPr="00292DBA">
        <w:rPr>
          <w:sz w:val="16"/>
          <w:szCs w:val="16"/>
        </w:rPr>
        <w:t xml:space="preserve">’importance de </w:t>
      </w:r>
      <w:r w:rsidR="00C848E5" w:rsidRPr="00292DBA">
        <w:rPr>
          <w:sz w:val="16"/>
          <w:szCs w:val="16"/>
        </w:rPr>
        <w:t xml:space="preserve">solides </w:t>
      </w:r>
      <w:r w:rsidR="000640B3" w:rsidRPr="00292DBA">
        <w:rPr>
          <w:sz w:val="16"/>
          <w:szCs w:val="16"/>
        </w:rPr>
        <w:t>pouvoirs d’enquête</w:t>
      </w:r>
    </w:p>
  </w:footnote>
  <w:footnote w:id="30">
    <w:p w14:paraId="0B2F60F3" w14:textId="34F27556" w:rsidR="00A90EAB" w:rsidRPr="00947F45" w:rsidRDefault="00A90EAB">
      <w:pPr>
        <w:pStyle w:val="FootnoteText"/>
        <w:rPr>
          <w:lang w:val="en-US"/>
        </w:rPr>
      </w:pPr>
      <w:r w:rsidRPr="00AF7C57">
        <w:rPr>
          <w:rStyle w:val="FootnoteReference"/>
          <w:sz w:val="16"/>
          <w:szCs w:val="16"/>
        </w:rPr>
        <w:footnoteRef/>
      </w:r>
      <w:r w:rsidRPr="00947F45">
        <w:rPr>
          <w:sz w:val="16"/>
          <w:szCs w:val="16"/>
          <w:lang w:val="en-US"/>
        </w:rPr>
        <w:t xml:space="preserve"> P. 53</w:t>
      </w:r>
    </w:p>
  </w:footnote>
  <w:footnote w:id="31">
    <w:p w14:paraId="33A6F06B" w14:textId="2AD4E967" w:rsidR="00A90EAB" w:rsidRPr="00947F45" w:rsidRDefault="00A90EAB">
      <w:pPr>
        <w:pStyle w:val="FootnoteText"/>
        <w:rPr>
          <w:sz w:val="16"/>
          <w:szCs w:val="16"/>
          <w:lang w:val="en-US"/>
        </w:rPr>
      </w:pPr>
      <w:r w:rsidRPr="00ED59F2">
        <w:rPr>
          <w:rStyle w:val="FootnoteReference"/>
          <w:sz w:val="16"/>
          <w:szCs w:val="16"/>
        </w:rPr>
        <w:footnoteRef/>
      </w:r>
      <w:r w:rsidRPr="00947F45">
        <w:rPr>
          <w:sz w:val="16"/>
          <w:szCs w:val="16"/>
          <w:lang w:val="en-US"/>
        </w:rPr>
        <w:t xml:space="preserve"> P. 56-58</w:t>
      </w:r>
    </w:p>
  </w:footnote>
  <w:footnote w:id="32">
    <w:p w14:paraId="2661FDCF" w14:textId="16EAB95D" w:rsidR="00A90EAB" w:rsidRPr="00947F45" w:rsidRDefault="00A90EAB">
      <w:pPr>
        <w:pStyle w:val="FootnoteText"/>
        <w:rPr>
          <w:sz w:val="16"/>
          <w:szCs w:val="16"/>
          <w:lang w:val="en-US"/>
        </w:rPr>
      </w:pPr>
      <w:r w:rsidRPr="00ED59F2">
        <w:rPr>
          <w:rStyle w:val="FootnoteReference"/>
          <w:sz w:val="16"/>
          <w:szCs w:val="16"/>
        </w:rPr>
        <w:footnoteRef/>
      </w:r>
      <w:r w:rsidRPr="00947F45">
        <w:rPr>
          <w:sz w:val="16"/>
          <w:szCs w:val="16"/>
          <w:lang w:val="en-US"/>
        </w:rPr>
        <w:t xml:space="preserve"> P. 59-60</w:t>
      </w:r>
    </w:p>
  </w:footnote>
  <w:footnote w:id="33">
    <w:p w14:paraId="1852A5E0" w14:textId="51C7A7A3" w:rsidR="00A90EAB" w:rsidRPr="00947F45" w:rsidRDefault="00A90EAB">
      <w:pPr>
        <w:pStyle w:val="FootnoteText"/>
        <w:rPr>
          <w:sz w:val="16"/>
          <w:szCs w:val="16"/>
          <w:lang w:val="en-US"/>
        </w:rPr>
      </w:pPr>
      <w:r w:rsidRPr="00ED59F2">
        <w:rPr>
          <w:rStyle w:val="FootnoteReference"/>
          <w:sz w:val="16"/>
          <w:szCs w:val="16"/>
        </w:rPr>
        <w:footnoteRef/>
      </w:r>
      <w:r w:rsidRPr="00947F45">
        <w:rPr>
          <w:sz w:val="16"/>
          <w:szCs w:val="16"/>
          <w:lang w:val="en-US"/>
        </w:rPr>
        <w:t xml:space="preserve"> P. 61</w:t>
      </w:r>
    </w:p>
  </w:footnote>
  <w:footnote w:id="34">
    <w:p w14:paraId="35B23447" w14:textId="3738310B" w:rsidR="00A90EAB" w:rsidRPr="00947F45" w:rsidRDefault="00A90EAB">
      <w:pPr>
        <w:pStyle w:val="FootnoteText"/>
        <w:rPr>
          <w:sz w:val="16"/>
          <w:szCs w:val="16"/>
          <w:lang w:val="en-US"/>
        </w:rPr>
      </w:pPr>
      <w:r w:rsidRPr="00ED59F2">
        <w:rPr>
          <w:rStyle w:val="FootnoteReference"/>
          <w:sz w:val="16"/>
          <w:szCs w:val="16"/>
        </w:rPr>
        <w:footnoteRef/>
      </w:r>
      <w:r w:rsidRPr="00947F45">
        <w:rPr>
          <w:sz w:val="16"/>
          <w:szCs w:val="16"/>
          <w:lang w:val="en-US"/>
        </w:rPr>
        <w:t xml:space="preserve"> P. 62</w:t>
      </w:r>
    </w:p>
  </w:footnote>
  <w:footnote w:id="35">
    <w:p w14:paraId="108C6096" w14:textId="12CE4D54" w:rsidR="00A90EAB" w:rsidRPr="00947F45" w:rsidRDefault="00A90EAB">
      <w:pPr>
        <w:pStyle w:val="FootnoteText"/>
        <w:rPr>
          <w:lang w:val="en-US"/>
        </w:rPr>
      </w:pPr>
      <w:r w:rsidRPr="00ED59F2">
        <w:rPr>
          <w:rStyle w:val="FootnoteReference"/>
          <w:sz w:val="16"/>
          <w:szCs w:val="16"/>
        </w:rPr>
        <w:footnoteRef/>
      </w:r>
      <w:r w:rsidRPr="00947F45">
        <w:rPr>
          <w:sz w:val="16"/>
          <w:szCs w:val="16"/>
          <w:lang w:val="en-US"/>
        </w:rPr>
        <w:t xml:space="preserve"> P. 63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0A3C" w14:textId="77777777" w:rsidR="002F44AC" w:rsidRDefault="002F4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A3CB" w14:textId="77777777" w:rsidR="002F44AC" w:rsidRDefault="002F4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54AB6" w14:textId="77777777" w:rsidR="002F44AC" w:rsidRDefault="002F4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1FF5"/>
    <w:multiLevelType w:val="hybridMultilevel"/>
    <w:tmpl w:val="6264FF9E"/>
    <w:lvl w:ilvl="0" w:tplc="1E42440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1181620"/>
    <w:multiLevelType w:val="hybridMultilevel"/>
    <w:tmpl w:val="19F05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52E7"/>
    <w:multiLevelType w:val="hybridMultilevel"/>
    <w:tmpl w:val="52CCBEA8"/>
    <w:lvl w:ilvl="0" w:tplc="1E424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223047"/>
    <w:multiLevelType w:val="hybridMultilevel"/>
    <w:tmpl w:val="9EEA15B8"/>
    <w:lvl w:ilvl="0" w:tplc="1E424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8F"/>
    <w:rsid w:val="00026611"/>
    <w:rsid w:val="00031127"/>
    <w:rsid w:val="00037E93"/>
    <w:rsid w:val="0004414A"/>
    <w:rsid w:val="000536B2"/>
    <w:rsid w:val="000640B3"/>
    <w:rsid w:val="00085ACF"/>
    <w:rsid w:val="000872AF"/>
    <w:rsid w:val="00094A18"/>
    <w:rsid w:val="000D6D0B"/>
    <w:rsid w:val="000E61BE"/>
    <w:rsid w:val="000F14F8"/>
    <w:rsid w:val="00113524"/>
    <w:rsid w:val="0012124D"/>
    <w:rsid w:val="00153F46"/>
    <w:rsid w:val="00166002"/>
    <w:rsid w:val="001675C5"/>
    <w:rsid w:val="001A32A7"/>
    <w:rsid w:val="001B6748"/>
    <w:rsid w:val="001C7F21"/>
    <w:rsid w:val="001D6B97"/>
    <w:rsid w:val="001E38B8"/>
    <w:rsid w:val="002321CA"/>
    <w:rsid w:val="00236AB2"/>
    <w:rsid w:val="0024257B"/>
    <w:rsid w:val="002752A1"/>
    <w:rsid w:val="00292DBA"/>
    <w:rsid w:val="002940CE"/>
    <w:rsid w:val="002A2286"/>
    <w:rsid w:val="002A71AB"/>
    <w:rsid w:val="002A790F"/>
    <w:rsid w:val="002B10E8"/>
    <w:rsid w:val="002D029A"/>
    <w:rsid w:val="002D6D76"/>
    <w:rsid w:val="002D7DA8"/>
    <w:rsid w:val="002D7EBF"/>
    <w:rsid w:val="002F44AC"/>
    <w:rsid w:val="00302F7F"/>
    <w:rsid w:val="00304D96"/>
    <w:rsid w:val="00311FD1"/>
    <w:rsid w:val="00322795"/>
    <w:rsid w:val="00362C51"/>
    <w:rsid w:val="00392708"/>
    <w:rsid w:val="003970A8"/>
    <w:rsid w:val="003D70FB"/>
    <w:rsid w:val="003D7C96"/>
    <w:rsid w:val="003E0B43"/>
    <w:rsid w:val="003F54D6"/>
    <w:rsid w:val="00411709"/>
    <w:rsid w:val="004359D5"/>
    <w:rsid w:val="004359F9"/>
    <w:rsid w:val="00442054"/>
    <w:rsid w:val="004425D0"/>
    <w:rsid w:val="00462EA7"/>
    <w:rsid w:val="00463FEA"/>
    <w:rsid w:val="00466C08"/>
    <w:rsid w:val="00470C50"/>
    <w:rsid w:val="00480474"/>
    <w:rsid w:val="00482026"/>
    <w:rsid w:val="004A261D"/>
    <w:rsid w:val="004B2350"/>
    <w:rsid w:val="004C5B51"/>
    <w:rsid w:val="004E34D6"/>
    <w:rsid w:val="004F049C"/>
    <w:rsid w:val="004F68CB"/>
    <w:rsid w:val="00524E88"/>
    <w:rsid w:val="005376D1"/>
    <w:rsid w:val="00556782"/>
    <w:rsid w:val="0056476E"/>
    <w:rsid w:val="00584751"/>
    <w:rsid w:val="00591FC5"/>
    <w:rsid w:val="005C6FC9"/>
    <w:rsid w:val="005E0C0B"/>
    <w:rsid w:val="006230FE"/>
    <w:rsid w:val="00640993"/>
    <w:rsid w:val="00655436"/>
    <w:rsid w:val="00656B0A"/>
    <w:rsid w:val="00667CC9"/>
    <w:rsid w:val="006760B0"/>
    <w:rsid w:val="00682499"/>
    <w:rsid w:val="006906E6"/>
    <w:rsid w:val="006945FA"/>
    <w:rsid w:val="00695542"/>
    <w:rsid w:val="006B634B"/>
    <w:rsid w:val="006D1B35"/>
    <w:rsid w:val="00707107"/>
    <w:rsid w:val="0072342E"/>
    <w:rsid w:val="0072532F"/>
    <w:rsid w:val="007259F2"/>
    <w:rsid w:val="00732B15"/>
    <w:rsid w:val="00737EA1"/>
    <w:rsid w:val="007D42E2"/>
    <w:rsid w:val="007F0BA9"/>
    <w:rsid w:val="00800049"/>
    <w:rsid w:val="00814FA2"/>
    <w:rsid w:val="00815DD8"/>
    <w:rsid w:val="00833B71"/>
    <w:rsid w:val="00844843"/>
    <w:rsid w:val="00875AAB"/>
    <w:rsid w:val="00893EED"/>
    <w:rsid w:val="00897DDB"/>
    <w:rsid w:val="008A3F58"/>
    <w:rsid w:val="008B0CAB"/>
    <w:rsid w:val="008C3395"/>
    <w:rsid w:val="008D1A63"/>
    <w:rsid w:val="008D3612"/>
    <w:rsid w:val="008D4FE9"/>
    <w:rsid w:val="008D6C73"/>
    <w:rsid w:val="008E39BF"/>
    <w:rsid w:val="008F2AED"/>
    <w:rsid w:val="00904E9B"/>
    <w:rsid w:val="00913EAB"/>
    <w:rsid w:val="00914F8F"/>
    <w:rsid w:val="00935B30"/>
    <w:rsid w:val="00947F45"/>
    <w:rsid w:val="00961CC8"/>
    <w:rsid w:val="009729E0"/>
    <w:rsid w:val="009762C7"/>
    <w:rsid w:val="009923DA"/>
    <w:rsid w:val="009A483A"/>
    <w:rsid w:val="009B6CA3"/>
    <w:rsid w:val="009C48F7"/>
    <w:rsid w:val="009C7AEA"/>
    <w:rsid w:val="009D101A"/>
    <w:rsid w:val="00A16FA5"/>
    <w:rsid w:val="00A23F6D"/>
    <w:rsid w:val="00A43CF3"/>
    <w:rsid w:val="00A90EAB"/>
    <w:rsid w:val="00A9429B"/>
    <w:rsid w:val="00AA0260"/>
    <w:rsid w:val="00AA634A"/>
    <w:rsid w:val="00AB2B1A"/>
    <w:rsid w:val="00AD6BE9"/>
    <w:rsid w:val="00AF33B1"/>
    <w:rsid w:val="00AF7C57"/>
    <w:rsid w:val="00AF7E6C"/>
    <w:rsid w:val="00B016D7"/>
    <w:rsid w:val="00B10BC3"/>
    <w:rsid w:val="00B14A4A"/>
    <w:rsid w:val="00B21E3F"/>
    <w:rsid w:val="00B265CF"/>
    <w:rsid w:val="00B26D6F"/>
    <w:rsid w:val="00B33FED"/>
    <w:rsid w:val="00B44994"/>
    <w:rsid w:val="00B501DD"/>
    <w:rsid w:val="00B85D4B"/>
    <w:rsid w:val="00BA4968"/>
    <w:rsid w:val="00BA4E5E"/>
    <w:rsid w:val="00BA52F8"/>
    <w:rsid w:val="00BC6BFB"/>
    <w:rsid w:val="00BE1A36"/>
    <w:rsid w:val="00BF0DA7"/>
    <w:rsid w:val="00C21B73"/>
    <w:rsid w:val="00C2263E"/>
    <w:rsid w:val="00C53953"/>
    <w:rsid w:val="00C60408"/>
    <w:rsid w:val="00C62127"/>
    <w:rsid w:val="00C848E5"/>
    <w:rsid w:val="00CA1209"/>
    <w:rsid w:val="00CB5605"/>
    <w:rsid w:val="00CD7DDD"/>
    <w:rsid w:val="00CF629C"/>
    <w:rsid w:val="00D0667E"/>
    <w:rsid w:val="00D73E8E"/>
    <w:rsid w:val="00D87D4D"/>
    <w:rsid w:val="00DA3BC5"/>
    <w:rsid w:val="00DA5B25"/>
    <w:rsid w:val="00DC4EA1"/>
    <w:rsid w:val="00DE1FFC"/>
    <w:rsid w:val="00E041B5"/>
    <w:rsid w:val="00E12E35"/>
    <w:rsid w:val="00E17788"/>
    <w:rsid w:val="00E301FC"/>
    <w:rsid w:val="00E329C5"/>
    <w:rsid w:val="00E36BFE"/>
    <w:rsid w:val="00E3728F"/>
    <w:rsid w:val="00E41F0B"/>
    <w:rsid w:val="00E52685"/>
    <w:rsid w:val="00E70717"/>
    <w:rsid w:val="00E8022B"/>
    <w:rsid w:val="00E83721"/>
    <w:rsid w:val="00E9265C"/>
    <w:rsid w:val="00EA7558"/>
    <w:rsid w:val="00EC4EEF"/>
    <w:rsid w:val="00ED59F2"/>
    <w:rsid w:val="00F34F3D"/>
    <w:rsid w:val="00F43A84"/>
    <w:rsid w:val="00F45D2E"/>
    <w:rsid w:val="00F559B2"/>
    <w:rsid w:val="00F75D05"/>
    <w:rsid w:val="00F7639E"/>
    <w:rsid w:val="00F76CE4"/>
    <w:rsid w:val="00F76F87"/>
    <w:rsid w:val="00F831B2"/>
    <w:rsid w:val="00F841FA"/>
    <w:rsid w:val="00F875A4"/>
    <w:rsid w:val="00F97F42"/>
    <w:rsid w:val="00FB0023"/>
    <w:rsid w:val="00FC0A2A"/>
    <w:rsid w:val="00FD11EC"/>
    <w:rsid w:val="00FD1540"/>
    <w:rsid w:val="00FD2F9E"/>
    <w:rsid w:val="00FD7366"/>
    <w:rsid w:val="00FE28B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5100"/>
  <w15:chartTrackingRefBased/>
  <w15:docId w15:val="{E0973192-BEC4-48A7-A791-7D39FD40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06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6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06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6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6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FD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F2"/>
  </w:style>
  <w:style w:type="character" w:styleId="PageNumber">
    <w:name w:val="page number"/>
    <w:basedOn w:val="DefaultParagraphFont"/>
    <w:uiPriority w:val="99"/>
    <w:semiHidden/>
    <w:unhideWhenUsed/>
    <w:rsid w:val="00ED59F2"/>
  </w:style>
  <w:style w:type="paragraph" w:styleId="BalloonText">
    <w:name w:val="Balloon Text"/>
    <w:basedOn w:val="Normal"/>
    <w:link w:val="BalloonTextChar"/>
    <w:uiPriority w:val="99"/>
    <w:semiHidden/>
    <w:unhideWhenUsed/>
    <w:rsid w:val="00ED59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F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AC"/>
    <w:rPr>
      <w:noProof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gmiscarriagesofjustice.wordpress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appgmiscarriagesofjustice.files.wordpress.com/2021/03/westminster-commission-on-miscarriages-of-justice-in-the-interests-of-justic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ppgmiscarriagesofjustice.files.wordpress.com/2021/03/westminster-commission-on-miscarriages-of-justice-in-the-interests-of-justic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ppgmiscarriagesofjustice.files.wordpress.com/2021/03/westminster-commission-on-miscarriages-of-justice-in-the-interests-of-justice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gmiscarriagesofjustice.files.wordpress.com/2021/03/westminster-commission-on-miscarriages-of-justice-in-the-interests-of-justice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X Document" ma:contentTypeID="0x01010016BC42CC3E36B949A57109B2CD76302400F8678C414BCE5246B85556782D05F35B" ma:contentTypeVersion="1" ma:contentTypeDescription="" ma:contentTypeScope="" ma:versionID="43b1948d386d1ce0306945a455a2fc04">
  <xsd:schema xmlns:xsd="http://www.w3.org/2001/XMLSchema" xmlns:xs="http://www.w3.org/2001/XMLSchema" xmlns:p="http://schemas.microsoft.com/office/2006/metadata/properties" xmlns:ns2="b725f225-bea6-44e9-8570-dad8cce9101e" targetNamespace="http://schemas.microsoft.com/office/2006/metadata/properties" ma:root="true" ma:fieldsID="7f01861038afb4a19a122e371d0f47f4" ns2:_="">
    <xsd:import namespace="b725f225-bea6-44e9-8570-dad8cce9101e"/>
    <xsd:element name="properties">
      <xsd:complexType>
        <xsd:sequence>
          <xsd:element name="documentManagement">
            <xsd:complexType>
              <xsd:all>
                <xsd:element ref="ns2:FileIdentifier" minOccurs="0"/>
                <xsd:element ref="ns2:GCDOCS_x0020_File_x0020_Number" minOccurs="0"/>
                <xsd:element ref="ns2:LEXCourtFileNumber" minOccurs="0"/>
                <xsd:element ref="ns2:Business_x0020_Unit" minOccurs="0"/>
                <xsd:element ref="ns2:Origin" minOccurs="0"/>
                <xsd:element ref="ns2:Category3" minOccurs="0"/>
                <xsd:element ref="ns2:Sent_x0020_To_x0020_Justipedia" minOccurs="0"/>
                <xsd:element ref="ns2:Notes1" minOccurs="0"/>
                <xsd:element ref="ns2:Exceptions" minOccurs="0"/>
                <xsd:element ref="ns2:LCMSURL" minOccurs="0"/>
                <xsd:element ref="ns2:Ready_x0020_for_x0020_Archiving" minOccurs="0"/>
                <xsd:element ref="ns2:MigrationNote" minOccurs="0"/>
                <xsd:element ref="ns2:SourceID" minOccurs="0"/>
                <xsd:element ref="ns2:Closed" minOccurs="0"/>
                <xsd:element ref="ns2:LEXFilename" minOccurs="0"/>
                <xsd:element ref="ns2:HasAttachments" minOccurs="0"/>
                <xsd:element ref="ns2:Folder" minOccurs="0"/>
                <xsd:element ref="ns2:JustipediaNotes" minOccurs="0"/>
                <xsd:element ref="ns2:Portfolio" minOccurs="0"/>
                <xsd:element ref="ns2:TaxKeywordTaxHTField" minOccurs="0"/>
                <xsd:element ref="ns2:ocb9e50a2dbb4c02884e7fc13588e9d7" minOccurs="0"/>
                <xsd:element ref="ns2:o3c5bb5e6342430985bfa72fbf8830b6" minOccurs="0"/>
                <xsd:element ref="ns2:i93b4daf849840eeaef05c05bfeec49d" minOccurs="0"/>
                <xsd:element ref="ns2:TaxCatchAll" minOccurs="0"/>
                <xsd:element ref="ns2:i155234f7ce9406785afd802285f54b6" minOccurs="0"/>
                <xsd:element ref="ns2:TaxCatchAllLabel" minOccurs="0"/>
                <xsd:element ref="ns2:p98d4e7371714dd68ba8ead81c2f0b01" minOccurs="0"/>
                <xsd:element ref="ns2:ClosedDate" minOccurs="0"/>
                <xsd:element ref="ns2:nabe869b5d1e4e3da4a7c2ceffa4fc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5f225-bea6-44e9-8570-dad8cce9101e" elementFormDefault="qualified">
    <xsd:import namespace="http://schemas.microsoft.com/office/2006/documentManagement/types"/>
    <xsd:import namespace="http://schemas.microsoft.com/office/infopath/2007/PartnerControls"/>
    <xsd:element name="FileIdentifier" ma:index="1" nillable="true" ma:displayName="LEX File Number" ma:internalName="FileIdentifier">
      <xsd:simpleType>
        <xsd:restriction base="dms:Text">
          <xsd:maxLength value="255"/>
        </xsd:restriction>
      </xsd:simpleType>
    </xsd:element>
    <xsd:element name="GCDOCS_x0020_File_x0020_Number" ma:index="2" nillable="true" ma:displayName="GCDOCS File Number" ma:internalName="GCDOCS_x0020_File_x0020_Number">
      <xsd:simpleType>
        <xsd:restriction base="dms:Text">
          <xsd:maxLength value="255"/>
        </xsd:restriction>
      </xsd:simpleType>
    </xsd:element>
    <xsd:element name="LEXCourtFileNumber" ma:index="3" nillable="true" ma:displayName="Court File Number" ma:internalName="LEXCourtFileNumber">
      <xsd:simpleType>
        <xsd:restriction base="dms:Text">
          <xsd:maxLength value="255"/>
        </xsd:restriction>
      </xsd:simpleType>
    </xsd:element>
    <xsd:element name="Business_x0020_Unit" ma:index="5" nillable="true" ma:displayName="Business Unit" ma:internalName="Business_x0020_Unit">
      <xsd:simpleType>
        <xsd:restriction base="dms:Text">
          <xsd:maxLength value="255"/>
        </xsd:restriction>
      </xsd:simpleType>
    </xsd:element>
    <xsd:element name="Origin" ma:index="7" nillable="true" ma:displayName="Origin" ma:format="DateOnly" ma:internalName="Origin">
      <xsd:simpleType>
        <xsd:restriction base="dms:DateTime"/>
      </xsd:simpleType>
    </xsd:element>
    <xsd:element name="Category3" ma:index="9" nillable="true" ma:displayName="Doc. Subject" ma:internalName="Category3">
      <xsd:simpleType>
        <xsd:restriction base="dms:Text">
          <xsd:maxLength value="255"/>
        </xsd:restriction>
      </xsd:simpleType>
    </xsd:element>
    <xsd:element name="Sent_x0020_To_x0020_Justipedia" ma:index="12" nillable="true" ma:displayName="Sent To Justipedia" ma:default="0" ma:internalName="Sent_x0020_To_x0020_Justipedia">
      <xsd:simpleType>
        <xsd:restriction base="dms:Boolean"/>
      </xsd:simpleType>
    </xsd:element>
    <xsd:element name="Notes1" ma:index="13" nillable="true" ma:displayName="Notes" ma:internalName="Notes1" ma:readOnly="false">
      <xsd:simpleType>
        <xsd:restriction base="dms:Note"/>
      </xsd:simpleType>
    </xsd:element>
    <xsd:element name="Exceptions" ma:index="14" nillable="true" ma:displayName="Exceptions" ma:internalName="Exceptions">
      <xsd:simpleType>
        <xsd:restriction base="dms:Text">
          <xsd:maxLength value="255"/>
        </xsd:restriction>
      </xsd:simpleType>
    </xsd:element>
    <xsd:element name="LCMSURL" ma:index="15" nillable="true" ma:displayName="LEX URL" ma:internalName="LCMSURL">
      <xsd:simpleType>
        <xsd:restriction base="dms:Text">
          <xsd:maxLength value="255"/>
        </xsd:restriction>
      </xsd:simpleType>
    </xsd:element>
    <xsd:element name="Ready_x0020_for_x0020_Archiving" ma:index="16" nillable="true" ma:displayName="Ready for Archiving" ma:default="0" ma:internalName="Ready_x0020_for_x0020_Archiving">
      <xsd:simpleType>
        <xsd:restriction base="dms:Boolean"/>
      </xsd:simpleType>
    </xsd:element>
    <xsd:element name="MigrationNote" ma:index="17" nillable="true" ma:displayName="MigrationNote" ma:internalName="MigrationNote">
      <xsd:simpleType>
        <xsd:restriction base="dms:Note"/>
      </xsd:simpleType>
    </xsd:element>
    <xsd:element name="SourceID" ma:index="18" nillable="true" ma:displayName="SourceID" ma:internalName="SourceID">
      <xsd:simpleType>
        <xsd:restriction base="dms:Text">
          <xsd:maxLength value="255"/>
        </xsd:restriction>
      </xsd:simpleType>
    </xsd:element>
    <xsd:element name="Closed" ma:index="19" nillable="true" ma:displayName="Closed" ma:default="0" ma:internalName="Closed">
      <xsd:simpleType>
        <xsd:restriction base="dms:Boolean"/>
      </xsd:simpleType>
    </xsd:element>
    <xsd:element name="LEXFilename" ma:index="21" nillable="true" ma:displayName="LEXFilename" ma:internalName="LEXFilename">
      <xsd:simpleType>
        <xsd:restriction base="dms:Text">
          <xsd:maxLength value="255"/>
        </xsd:restriction>
      </xsd:simpleType>
    </xsd:element>
    <xsd:element name="HasAttachments" ma:index="22" nillable="true" ma:displayName="HasAttachments" ma:default="0" ma:internalName="HasAttachments">
      <xsd:simpleType>
        <xsd:restriction base="dms:Boolean"/>
      </xsd:simpleType>
    </xsd:element>
    <xsd:element name="Folder" ma:index="23" nillable="true" ma:displayName="Folder" ma:internalName="Folder">
      <xsd:simpleType>
        <xsd:restriction base="dms:Text">
          <xsd:maxLength value="255"/>
        </xsd:restriction>
      </xsd:simpleType>
    </xsd:element>
    <xsd:element name="JustipediaNotes" ma:index="24" nillable="true" ma:displayName="Justipedia Notes" ma:internalName="JustipediaNotes">
      <xsd:simpleType>
        <xsd:restriction base="dms:Note"/>
      </xsd:simpleType>
    </xsd:element>
    <xsd:element name="Portfolio" ma:index="25" nillable="true" ma:displayName="Portfolio" ma:internalName="Portfolio">
      <xsd:simpleType>
        <xsd:restriction base="dms:Text">
          <xsd:maxLength value="255"/>
        </xsd:restriction>
      </xsd:simple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5648788-ecba-4b04-acbd-732497e0cf6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cb9e50a2dbb4c02884e7fc13588e9d7" ma:index="30" nillable="true" ma:taxonomy="true" ma:internalName="ocb9e50a2dbb4c02884e7fc13588e9d7" ma:taxonomyFieldName="Areas_x0020_of_x0020_Practice" ma:displayName="Areas of Practice" ma:readOnly="false" ma:default="" ma:fieldId="{8cb9e50a-2dbb-4c02-884e-7fc13588e9d7}" ma:taxonomyMulti="true" ma:sspId="35648788-ecba-4b04-acbd-732497e0cf61" ma:termSetId="447515f1-d1bb-44b5-bd2d-3cba51390e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c5bb5e6342430985bfa72fbf8830b6" ma:index="34" nillable="true" ma:taxonomy="true" ma:internalName="o3c5bb5e6342430985bfa72fbf8830b6" ma:taxonomyFieldName="FileType1" ma:displayName="FileType" ma:default="" ma:fieldId="{83c5bb5e-6342-4309-85bf-a72fbf8830b6}" ma:sspId="35648788-ecba-4b04-acbd-732497e0cf61" ma:termSetId="a768a41d-ec6d-46a6-a7ef-d701f774a8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3b4daf849840eeaef05c05bfeec49d" ma:index="36" nillable="true" ma:taxonomy="true" ma:internalName="i93b4daf849840eeaef05c05bfeec49d" ma:taxonomyFieldName="Document_x0020_type" ma:displayName="Document Type" ma:readOnly="false" ma:default="" ma:fieldId="{293b4daf-8498-40ee-aef0-5c05bfeec49d}" ma:sspId="35648788-ecba-4b04-acbd-732497e0cf61" ma:termSetId="0f0ac3ff-8dbb-42b5-89e8-f9c0db08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7" nillable="true" ma:displayName="Taxonomy Catch All Column" ma:hidden="true" ma:list="{378d4a55-8e24-48b4-a024-17ee260a652f}" ma:internalName="TaxCatchAll" ma:showField="CatchAllData" ma:web="88148df4-03fb-435d-bdcb-4de22f89e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155234f7ce9406785afd802285f54b6" ma:index="38" ma:taxonomy="true" ma:internalName="i155234f7ce9406785afd802285f54b6" ma:taxonomyFieldName="Security" ma:displayName="Security" ma:readOnly="false" ma:default="1;#Unclassified|46e30526-9ff0-4654-a636-aa8b02ed351c" ma:fieldId="{2155234f-7ce9-4067-85af-d802285f54b6}" ma:sspId="35648788-ecba-4b04-acbd-732497e0cf61" ma:termSetId="034b84e2-83a5-49f9-8e55-1e1dcc71e5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9" nillable="true" ma:displayName="Taxonomy Catch All Column1" ma:hidden="true" ma:list="{378d4a55-8e24-48b4-a024-17ee260a652f}" ma:internalName="TaxCatchAllLabel" ma:readOnly="true" ma:showField="CatchAllDataLabel" ma:web="88148df4-03fb-435d-bdcb-4de22f89e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8d4e7371714dd68ba8ead81c2f0b01" ma:index="40" ma:taxonomy="true" ma:internalName="p98d4e7371714dd68ba8ead81c2f0b01" ma:taxonomyFieldName="Language1" ma:displayName="Language" ma:readOnly="false" ma:default="2;#English|a4bed915-78d8-458e-a073-85b2d5287cd2" ma:fieldId="{998d4e73-7171-4dd6-8ba8-ead81c2f0b01}" ma:sspId="35648788-ecba-4b04-acbd-732497e0cf61" ma:termSetId="d8f9ee4c-8009-4a39-b4e3-1804e0ffc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osedDate" ma:index="41" nillable="true" ma:displayName="ClosedDate" ma:format="DateOnly" ma:hidden="true" ma:internalName="ClosedDate" ma:readOnly="false">
      <xsd:simpleType>
        <xsd:restriction base="dms:DateTime"/>
      </xsd:simpleType>
    </xsd:element>
    <xsd:element name="nabe869b5d1e4e3da4a7c2ceffa4fc68" ma:index="42" nillable="true" ma:taxonomy="true" ma:internalName="nabe869b5d1e4e3da4a7c2ceffa4fc68" ma:taxonomyFieldName="LEXCourtLevel" ma:displayName="Court Level" ma:readOnly="false" ma:default="" ma:fieldId="{7abe869b-5d1e-4e3d-a4a7-c2ceffa4fc68}" ma:sspId="35648788-ecba-4b04-acbd-732497e0cf61" ma:termSetId="007661fa-01c7-4679-a8db-429f10c0c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Note xmlns="b725f225-bea6-44e9-8570-dad8cce9101e" xsi:nil="true"/>
    <Ready_x0020_for_x0020_Archiving xmlns="b725f225-bea6-44e9-8570-dad8cce9101e">false</Ready_x0020_for_x0020_Archiving>
    <SourceID xmlns="b725f225-bea6-44e9-8570-dad8cce9101e" xsi:nil="true"/>
    <TaxKeywordTaxHTField xmlns="b725f225-bea6-44e9-8570-dad8cce9101e">
      <Terms xmlns="http://schemas.microsoft.com/office/infopath/2007/PartnerControls"/>
    </TaxKeywordTaxHTField>
    <HasAttachments xmlns="b725f225-bea6-44e9-8570-dad8cce9101e">false</HasAttachments>
    <Portfolio xmlns="b725f225-bea6-44e9-8570-dad8cce9101e" xsi:nil="true"/>
    <TaxCatchAll xmlns="b725f225-bea6-44e9-8570-dad8cce9101e">
      <Value>12</Value>
      <Value>3</Value>
      <Value>5</Value>
    </TaxCatchAll>
    <LEXFilename xmlns="b725f225-bea6-44e9-8570-dad8cce9101e">CRIMINAL CONVICTION REVIEW COMMISSION (CCRC) - CCRG - MISCARRIAGE OF JUSTICE APPLICATION(LEX-500027113)</LEXFilename>
    <Category3 xmlns="b725f225-bea6-44e9-8570-dad8cce9101e" xsi:nil="true"/>
    <Exceptions xmlns="b725f225-bea6-44e9-8570-dad8cce9101e">Exception File - Government Operations</Exceptions>
    <ClosedDate xmlns="b725f225-bea6-44e9-8570-dad8cce9101e" xsi:nil="true"/>
    <ocb9e50a2dbb4c02884e7fc13588e9d7 xmlns="b725f225-bea6-44e9-8570-dad8cce9101e">
      <Terms xmlns="http://schemas.microsoft.com/office/infopath/2007/PartnerControls"/>
    </ocb9e50a2dbb4c02884e7fc13588e9d7>
    <Folder xmlns="b725f225-bea6-44e9-8570-dad8cce9101e" xsi:nil="true"/>
    <o3c5bb5e6342430985bfa72fbf8830b6 xmlns="b725f225-bea6-44e9-8570-dad8cce910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Advisory</TermName>
          <TermId xmlns="http://schemas.microsoft.com/office/infopath/2007/PartnerControls">7daa715c-bfd5-46eb-aa82-a428665e08f4</TermId>
        </TermInfo>
      </Terms>
    </o3c5bb5e6342430985bfa72fbf8830b6>
    <i155234f7ce9406785afd802285f54b6 xmlns="b725f225-bea6-44e9-8570-dad8cce910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 B</TermName>
          <TermId xmlns="http://schemas.microsoft.com/office/infopath/2007/PartnerControls">b6ebf209-0ff9-46d4-ad9e-8fbc40cfd2a3</TermId>
        </TermInfo>
      </Terms>
    </i155234f7ce9406785afd802285f54b6>
    <Business_x0020_Unit xmlns="b725f225-bea6-44e9-8570-dad8cce9101e">NCR - Criminal Conviction Review Group [50020] | RCN - Groupe de la révision des condamnations criminelles [50020] </Business_x0020_Unit>
    <LEXCourtFileNumber xmlns="b725f225-bea6-44e9-8570-dad8cce9101e" xsi:nil="true"/>
    <Notes1 xmlns="b725f225-bea6-44e9-8570-dad8cce9101e" xsi:nil="true"/>
    <JustipediaNotes xmlns="b725f225-bea6-44e9-8570-dad8cce9101e" xsi:nil="true"/>
    <nabe869b5d1e4e3da4a7c2ceffa4fc68 xmlns="b725f225-bea6-44e9-8570-dad8cce9101e">
      <Terms xmlns="http://schemas.microsoft.com/office/infopath/2007/PartnerControls"/>
    </nabe869b5d1e4e3da4a7c2ceffa4fc68>
    <GCDOCS_x0020_File_x0020_Number xmlns="b725f225-bea6-44e9-8570-dad8cce9101e">11525303</GCDOCS_x0020_File_x0020_Number>
    <Sent_x0020_To_x0020_Justipedia xmlns="b725f225-bea6-44e9-8570-dad8cce9101e">false</Sent_x0020_To_x0020_Justipedia>
    <LCMSURL xmlns="b725f225-bea6-44e9-8570-dad8cce9101e">https://lexprod.justice.gc.ca/LEXPROD/main.aspx?etn=just_file&amp;id={cf8c3588-18e6-ea11-81a2-00505695534d}&amp;pagetype=entityrecord</LCMSURL>
    <p98d4e7371714dd68ba8ead81c2f0b01 xmlns="b725f225-bea6-44e9-8570-dad8cce910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Bilingual</TermName>
          <TermId xmlns="http://schemas.microsoft.com/office/infopath/2007/PartnerControls">3d7669d6-9001-4b69-8208-0ed7705b24f4</TermId>
        </TermInfo>
      </Terms>
    </p98d4e7371714dd68ba8ead81c2f0b01>
    <FileIdentifier xmlns="b725f225-bea6-44e9-8570-dad8cce9101e">LEX-500027113</FileIdentifier>
    <Closed xmlns="b725f225-bea6-44e9-8570-dad8cce9101e">false</Closed>
    <Origin xmlns="b725f225-bea6-44e9-8570-dad8cce9101e" xsi:nil="true"/>
    <i93b4daf849840eeaef05c05bfeec49d xmlns="b725f225-bea6-44e9-8570-dad8cce9101e">
      <Terms xmlns="http://schemas.microsoft.com/office/infopath/2007/PartnerControls"/>
    </i93b4daf849840eeaef05c05bfeec49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5648788-ecba-4b04-acbd-732497e0cf61" ContentTypeId="0x01010016BC42CC3E36B949A57109B2CD76302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64543E-182C-4B7E-8EA8-F4A23EE65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5f225-bea6-44e9-8570-dad8cce9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D101E-D12D-4984-8869-2361EE5000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25f225-bea6-44e9-8570-dad8cce910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4445FB-E8F6-4076-865C-AE6D1FD14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41DC2-7AD0-4E4F-B25D-FD6669A8515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99F670-0036-4207-8B37-DCC3C0F3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2016</Words>
  <Characters>11496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Williams</dc:creator>
  <cp:keywords/>
  <dc:description/>
  <cp:lastModifiedBy>Besner, Julie</cp:lastModifiedBy>
  <cp:revision>4</cp:revision>
  <dcterms:created xsi:type="dcterms:W3CDTF">2021-05-21T15:41:00Z</dcterms:created>
  <dcterms:modified xsi:type="dcterms:W3CDTF">2021-05-21T16:37:00Z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0x01010016BC42CC3E36B949A57109B2CD76302400F8678C414BCE5246B85556782D05F35B</vt:lpwstr>
  </property>
  <property fmtid="{D5CDD505-2E9C-101B-9397-08002B2CF9AE}" pid="3" name="LEX URL">
    <vt:lpwstr>https://lexprod.justice.gc.ca/LEXPROD/main.aspx?etn=just_file&amp;id={cf8c3588-18e6-ea11-81a2-00505695534d}&amp;pagetype=entityrecord</vt:lpwstr>
  </property>
  <property fmtid="{D5CDD505-2E9C-101B-9397-08002B2CF9AE}" pid="4" name="LEX File Number">
    <vt:lpwstr>LEX-500027113</vt:lpwstr>
  </property>
  <property fmtid="{D5CDD505-2E9C-101B-9397-08002B2CF9AE}" pid="5" name="FileType1">
    <vt:lpwstr>5;#Advisory|7daa715c-bfd5-46eb-aa82-a428665e08f4</vt:lpwstr>
  </property>
  <property fmtid="{D5CDD505-2E9C-101B-9397-08002B2CF9AE}" pid="6" name="TaxKeyword">
    <vt:lpwstr/>
  </property>
  <property fmtid="{D5CDD505-2E9C-101B-9397-08002B2CF9AE}" pid="7" name="Security">
    <vt:lpwstr>3;#Protected B|b6ebf209-0ff9-46d4-ad9e-8fbc40cfd2a3</vt:lpwstr>
  </property>
  <property fmtid="{D5CDD505-2E9C-101B-9397-08002B2CF9AE}" pid="8" name="Areas of Practice">
    <vt:lpwstr/>
  </property>
  <property fmtid="{D5CDD505-2E9C-101B-9397-08002B2CF9AE}" pid="9" name="LEXCourtLevel">
    <vt:lpwstr/>
  </property>
  <property fmtid="{D5CDD505-2E9C-101B-9397-08002B2CF9AE}" pid="10" name="Document type">
    <vt:lpwstr/>
  </property>
  <property fmtid="{D5CDD505-2E9C-101B-9397-08002B2CF9AE}" pid="11" name="Language1">
    <vt:lpwstr>12;#Bilingual|3d7669d6-9001-4b69-8208-0ed7705b24f4</vt:lpwstr>
  </property>
</Properties>
</file>